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3a62dd286463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5044-S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S0634.1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5044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01/27/2021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29, after "</w:t>
      </w:r>
      <w:r>
        <w:rPr>
          <w:u w:val="single"/>
        </w:rPr>
        <w:t xml:space="preserve">genders</w:t>
      </w:r>
      <w:r>
        <w:rPr/>
        <w:t xml:space="preserve">" insert "</w:t>
      </w:r>
      <w:r>
        <w:rPr>
          <w:u w:val="single"/>
        </w:rPr>
        <w:t xml:space="preserve">, and highly capable students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24, after "experiences" insert "</w:t>
      </w:r>
      <w:r>
        <w:rPr>
          <w:u w:val="single"/>
        </w:rPr>
        <w:t xml:space="preserve">, including highly capable students' experiences,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Adds that the training programs identified for equity, diversity, antiracism, and inclusion must consider highly capable students.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Adds highly capable students when adapting instruction to students' experiences within the definition of "cultural competency."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92620231349c8" /></Relationships>
</file>