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a0c2478f1443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5036-S2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S1718.1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5036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03/01/2021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beginning on line 31, strike all of subsection (5)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presumption that the Board release a petitioner unless the panel determines by a preponderance of the evidence that the person is more likely than not to commit new criminal law violations if released.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a8b8ef1a348bc" /></Relationships>
</file>