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d723684f540e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2124-S.E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S5441.1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 </w:t>
      </w:r>
    </w:p>
    <w:p>
      <w:pPr>
        <w:spacing w:before="480" w:after="0" w:line="408" w:lineRule="exact"/>
      </w:pPr>
      <w:r>
        <w:rPr>
          <w:b/>
          <w:u w:val="single"/>
        </w:rPr>
        <w:t xml:space="preserve">ESHB 2124</w:t>
      </w:r>
      <w:r>
        <w:t xml:space="preserve"> -</w:t>
      </w:r>
      <w:r>
        <w:t xml:space="preserve"> </w:t>
        <w:t xml:space="preserve">S AMD TO WM COMM AMD (S-5428.1/22)</w:t>
      </w:r>
      <w:r>
        <w:t xml:space="preserve"> </w:t>
      </w:r>
      <w:r>
        <w:rPr>
          <w:b/>
        </w:rPr>
        <w:t xml:space="preserve">1490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NOT ADOPTED 03/09/2022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"(4) No bargaining unit of employees of the legislative branch shall be appropriate for recognition or certification if it includes: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Staff of more than one caucus;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Legislative assistants and session aides for members of more than one caucus."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certification of a bargaining unit that includes staff of more than one caucus or legislative assistants and session aides for members of more than one caucus.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4b0179c914ddb" /></Relationships>
</file>