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adad0fcf94f6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1876-S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S5295.1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1876</w:t>
      </w:r>
      <w:r>
        <w:t xml:space="preserve"> -</w:t>
      </w:r>
      <w:r>
        <w:t xml:space="preserve"> </w:t>
        <w:t xml:space="preserve">S AMD TO SGE COMM AMD (S-4760.1/22)</w:t>
      </w:r>
      <w:r>
        <w:t xml:space="preserve"> </w:t>
      </w:r>
      <w:r>
        <w:rPr>
          <w:b/>
        </w:rPr>
        <w:t xml:space="preserve">1380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03/02/2022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2, after "must" strike "list" and insert ": (a) List"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4, after "words" insert "; and (b) include a description of state revenue for the previous 10 years, not subject to a word limitation"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for state ballot measures that have a fiscal impact primarily to the state general fund, the Public Investment Impact Disclosure must include a description of state revenue for the previous 10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5ee1fbac4960" /></Relationships>
</file>