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6914196644f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1837.E</w:t>
        </w:r>
      </w:r>
      <w:r>
        <w:rPr>
          <w:b/>
        </w:rPr>
        <w:t xml:space="preserve"> </w:t>
        <w:t xml:space="preserve">AMS</w:t>
      </w:r>
      <w:r>
        <w:t xml:space="preserve"> </w:t>
      </w:r>
      <w:r>
        <w:rPr>
          <w:b/>
        </w:rPr>
        <w:t xml:space="preserve">1434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S5319.1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1837</w:t>
      </w:r>
      <w:r>
        <w:t xml:space="preserve"> -</w:t>
      </w:r>
      <w:r>
        <w:t xml:space="preserve"> </w:t>
        <w:t xml:space="preserve">S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6, after "administration." insert "</w:t>
      </w:r>
      <w:r>
        <w:rPr>
          <w:u w:val="single"/>
        </w:rPr>
        <w:t xml:space="preserve">Prior to adopting any rules, the department must demonstrate by a preponderance of the evidence that any recommendations in the rule will substantially reduce injuries in the workplace.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labor and industries, prior to adopting any rules, to demonstrate by a preponderance of the evidence that any recommendations in the rule will substantially reduce injuries in the workplace.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8c863c5964e4c" /></Relationships>
</file>