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f7554046741c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1770-S.E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GILD</w:t>
        </w:r>
      </w:r>
      <w:r>
        <w:rPr>
          <w:b/>
        </w:rPr>
        <w:t xml:space="preserve"> </w:t>
        <w:r>
          <w:rPr/>
          <w:t xml:space="preserve">S5035.1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1770</w:t>
      </w:r>
      <w:r>
        <w:t xml:space="preserve"> -</w:t>
      </w:r>
      <w:r>
        <w:t xml:space="preserve"> </w:t>
        <w:t xml:space="preserve">S AMD TO ENET COMM AMD (S-4748.1/22)</w:t>
      </w:r>
      <w:r>
        <w:t xml:space="preserve"> </w:t>
      </w:r>
      <w:r>
        <w:rPr>
          <w:b/>
        </w:rPr>
        <w:t xml:space="preserve">1275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Gildon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after line 11,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</w:t>
      </w:r>
      <w:r>
        <w:rPr>
          <w:u w:val="single"/>
        </w:rPr>
        <w:t xml:space="preserve">(9) The state building code council shall not adopt any changes that increase the cost of housing.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Adds a requirement that prevents the state building code council from adopting any changes that would increase the cost of housing.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65bf8c0884d79" /></Relationships>
</file>