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a4659d16f420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1770-S.E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S5030.1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1770</w:t>
      </w:r>
      <w:r>
        <w:t xml:space="preserve"> -</w:t>
      </w:r>
      <w:r>
        <w:t xml:space="preserve"> </w:t>
        <w:t xml:space="preserve">S AMD TO ENET COMM AMD (S-4748.1/22)</w:t>
      </w:r>
      <w:r>
        <w:t xml:space="preserve"> </w:t>
      </w:r>
      <w:r>
        <w:rPr>
          <w:b/>
        </w:rPr>
        <w:t xml:space="preserve">1261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33, after "</w:t>
      </w:r>
      <w:r>
        <w:rPr>
          <w:u w:val="single"/>
        </w:rPr>
        <w:t xml:space="preserve">consumption</w:t>
      </w:r>
      <w:r>
        <w:rPr/>
        <w:t xml:space="preserve">" strike "</w:t>
      </w:r>
      <w:r>
        <w:rPr>
          <w:u w:val="single"/>
        </w:rPr>
        <w:t xml:space="preserve">and greenhouse gas emissions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greenhouse gas emissions as a part of the 70 percent required reduction in energy consumption for residential buildings in incremental steps by the 2027 energy code required in the statewide residential reach code.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2d2575710490b" /></Relationships>
</file>