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5550beb944b7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1770-S.E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S5026.1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1770</w:t>
      </w:r>
      <w:r>
        <w:t xml:space="preserve"> -</w:t>
      </w:r>
      <w:r>
        <w:t xml:space="preserve"> </w:t>
        <w:t xml:space="preserve">S AMD TO ENET COMM AMD (S-4748.1/22)</w:t>
      </w:r>
      <w:r>
        <w:t xml:space="preserve"> </w:t>
      </w:r>
      <w:r>
        <w:rPr>
          <w:b/>
        </w:rPr>
        <w:t xml:space="preserve">1260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13, after "strategy." insert "The legislature intends to discontinue the policies established in this act if they exacerbate the current housing affordability crisis."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Amends the intent section to add that the provisions in the bill will be discontinued if the requirements of the bill worsen the current housing affordability crisis.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e2f0b5df44f10" /></Relationships>
</file>