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f647671184e4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1736-S2.E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S5479.1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1736</w:t>
      </w:r>
      <w:r>
        <w:t xml:space="preserve"> -</w:t>
      </w:r>
      <w:r>
        <w:t xml:space="preserve"> </w:t>
        <w:t xml:space="preserve">S AMD TO S AMD (S-5455.4/22)</w:t>
      </w:r>
      <w:r>
        <w:t xml:space="preserve"> </w:t>
      </w:r>
      <w:r>
        <w:rPr>
          <w:b/>
        </w:rPr>
        <w:t xml:space="preserve">1504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  <w:r>
        <w:rPr>
          <w:b/>
        </w:rPr>
        <w:t xml:space="preserve">NOT ADOPTED 03/10/2022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17, after "tuition." strike all material through "basis." on line 25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4, line 31, strike all of sections 4 through 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4, after "through" strike "7" and insert "3"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beginning on line 6, after "1," strike all material through "section" on line 8 and insert "line 1 of the title, after "program;" strike the remainder of the title and insert "and adding a new chapter to Title 28B RCW."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Eliminates the intent that the legislature intends to appropriate $150 million to the state student loan program.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Maintains the state student loan program design and reporting requirements.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Eliminates the creation of the state student loan program and establishment of the account.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2407096694069" /></Relationships>
</file>