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2adf52d64ba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1705-S.E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S5228.1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1308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after line 21,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"(6) This section does not apply to any person in possession of an untraceable firearm who has been issued a license under RCW 9.41.070."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29, after "receiver" strike all material through "dealer" on line 31 and insert "is imprinted with a serial number within five business days of receipt by the purchaser"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36, after "receiver" strike all material through "dealer" on line 38 and insert "is imprinted with a serial number within five business days of receipt by the purchaser"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after line 21,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"(5) This section does not apply to any person in possession of an untraceable frame or receiver who has been issued a license under RCW 9.41.070."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Provides an exception for unfinished frames and receivers imprinted with a serial number within five business days of receipt.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Exempts persons with a concealed pistol license from the restrictions on the manufacture, possession, sale, transport, transfer, purchase, or receipt of an untraceable firearm.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Exempts persons with a concealed pistol license from the restrictions on the manufacture, possession, sale, transport, transfer, purchase, or receipt of an untraceable frame or receiver.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123ed0a94240" /></Relationships>
</file>