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9b2bdbdff4dc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1660-S.E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WELL</w:t>
        </w:r>
      </w:r>
      <w:r>
        <w:rPr>
          <w:b/>
        </w:rPr>
        <w:t xml:space="preserve"> </w:t>
        <w:r>
          <w:rPr/>
          <w:t xml:space="preserve">S5265.1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1660</w:t>
      </w:r>
      <w:r>
        <w:t xml:space="preserve"> -</w:t>
      </w:r>
      <w:r>
        <w:t xml:space="preserve"> </w:t>
        <w:t xml:space="preserve">S AMD TO S AMD (S-5226.3/22)</w:t>
      </w:r>
      <w:r>
        <w:t xml:space="preserve"> </w:t>
      </w:r>
      <w:r>
        <w:rPr>
          <w:b/>
        </w:rPr>
        <w:t xml:space="preserve">1324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Wellman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5, after "</w:t>
      </w:r>
      <w:r>
        <w:rPr>
          <w:u w:val="single"/>
        </w:rPr>
        <w:t xml:space="preserve">developments</w:t>
      </w:r>
      <w:r>
        <w:rPr/>
        <w:t xml:space="preserve">" insert "</w:t>
      </w:r>
      <w:r>
        <w:rPr>
          <w:u w:val="single"/>
        </w:rPr>
        <w:t xml:space="preserve">. The construction of accessory dwelling units must be in compliance with all existing and future applicable shoreline, critical area, and other development regulations intended to manage local infrastructure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ADU construction to comply with shoreline, critical area, and other development regulations addressing local infrastructure.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1fca4f38d4192" /></Relationships>
</file>