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540d7bdfe4f6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S5270.1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1660</w:t>
      </w:r>
      <w:r>
        <w:t xml:space="preserve"> -</w:t>
      </w:r>
      <w:r>
        <w:t xml:space="preserve"> </w:t>
        <w:t xml:space="preserve">S AMD TO S AMD (S-5226.3/22)</w:t>
      </w:r>
      <w:r>
        <w:t xml:space="preserve"> </w:t>
      </w:r>
      <w:r>
        <w:rPr>
          <w:b/>
        </w:rPr>
        <w:t xml:space="preserve">1345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line 19, strike all of sections 3 through 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beginning on line 9, after "insert" strike all material through "RCW." on line 13 and insert "and amending RCW 36.70A.697, 36.70A.698, and 36.70A.070."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Removes provisions prohibiting governing documents and declarations of homeowners' associations, condominium and apartment associations, and common interest communities, and restrictive covenants/deed restrictions, created after March 1, 2022, from preventing ADU construction or development.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Removes provisions prohibiting GMA cities and counties from being held liable for issuing a permit for ADU construction that would violate governing documents and declarations of homeowners' associations, condominium and apartment associations, and common interest communities, and restrictive covenants/deed restrictions.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e479b60a74f72" /></Relationships>
</file>