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f274025ad4be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1630-S.E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S5162.1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1630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1304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WITHDRAWN 03/01/2022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13, after "guilty of a" strike "gross" and insert "</w:t>
      </w:r>
      <w:r>
        <w:t>((</w:t>
      </w:r>
      <w:r>
        <w:rPr>
          <w:strike/>
        </w:rPr>
        <w:t xml:space="preserve">gross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33, after "guilty of a" strike "gross" and insert "</w:t>
      </w:r>
      <w:r>
        <w:t>((</w:t>
      </w:r>
      <w:r>
        <w:rPr>
          <w:strike/>
        </w:rPr>
        <w:t xml:space="preserve">gross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27, after "guilty of a" strike "gross"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31, after "guilty of a" strike "gross" 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Lowers the penalty for violations of carry or possession prohibitions of firearms or other weapons from a gross misdemeanor offense to a misdemeanor offense.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ebefc36194d6e" /></Relationships>
</file>