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8b83ce637d4fc0" /></Relationships>
</file>

<file path=word/document.xml><?xml version="1.0" encoding="utf-8"?>
<w:document xmlns:w="http://schemas.openxmlformats.org/wordprocessingml/2006/main">
  <w:body>
    <w:p>
      <w:r>
        <w:rPr>
          <w:b/>
        </w:rPr>
        <w:r>
          <w:rPr/>
          <w:t xml:space="preserve">1477-S2.E</w:t>
        </w:r>
      </w:r>
      <w:r>
        <w:rPr>
          <w:b/>
        </w:rPr>
        <w:t xml:space="preserve"> </w:t>
        <w:t xml:space="preserve">AMS</w:t>
      </w:r>
      <w:r>
        <w:rPr>
          <w:b/>
        </w:rPr>
        <w:t xml:space="preserve"> </w:t>
        <w:r>
          <w:rPr/>
          <w:t xml:space="preserve">CARL</w:t>
        </w:r>
      </w:r>
      <w:r>
        <w:rPr>
          <w:b/>
        </w:rPr>
        <w:t xml:space="preserve"> </w:t>
        <w:r>
          <w:rPr/>
          <w:t xml:space="preserve">S3025.2</w:t>
        </w:r>
      </w:r>
      <w:r>
        <w:rPr>
          <w:b/>
        </w:rPr>
        <w:t xml:space="preserve"> - NOT FOR FLOOR USE</w:t>
      </w:r>
    </w:p>
    <w:p>
      <w:pPr>
        <w:ind w:left="0" w:right="0" w:firstLine="576"/>
      </w:pPr>
    </w:p>
    <w:p>
      <w:pPr>
        <w:spacing w:before="480" w:after="0" w:line="408" w:lineRule="exact"/>
      </w:pPr>
      <w:r>
        <w:rPr>
          <w:b/>
          <w:u w:val="single"/>
        </w:rPr>
        <w:t xml:space="preserve">E2SHB 1477</w:t>
      </w:r>
      <w:r>
        <w:t xml:space="preserve"> -</w:t>
      </w:r>
      <w:r>
        <w:t xml:space="preserve"> </w:t>
        <w:t xml:space="preserve">S AMD TO S AMD (S-2948.2/21)</w:t>
      </w:r>
      <w:r>
        <w:t xml:space="preserve"> </w:t>
      </w:r>
      <w:r>
        <w:rPr>
          <w:b/>
        </w:rPr>
        <w:t xml:space="preserve">902</w:t>
      </w:r>
    </w:p>
    <w:p>
      <w:pPr>
        <w:spacing w:before="0" w:after="0" w:line="408" w:lineRule="exact"/>
        <w:ind w:left="0" w:right="0" w:firstLine="576"/>
        <w:jc w:val="left"/>
      </w:pPr>
      <w:r>
        <w:rPr/>
        <w:t xml:space="preserve">By Senator Carlyle</w:t>
      </w:r>
    </w:p>
    <w:p>
      <w:pPr>
        <w:jc w:val="right"/>
      </w:pPr>
      <w:r>
        <w:rPr>
          <w:b/>
        </w:rPr>
        <w:t xml:space="preserve">PULLED 04/19/2021</w:t>
      </w:r>
    </w:p>
    <w:p>
      <w:pPr>
        <w:spacing w:before="0" w:after="0" w:line="408" w:lineRule="exact"/>
        <w:ind w:left="0" w:right="0" w:firstLine="576"/>
        <w:jc w:val="left"/>
      </w:pPr>
      <w:r>
        <w:rPr/>
        <w:t xml:space="preserve">On page 17, after line 33,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108</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For the purpose of development and implementation of technology and platforms by the department and the authority under section 102 of this act, the department and the authority shall create a sophisticated technical and operational plan. The plan shall not conflict with, nor delay, the department meeting and satisfying existing 988 federal requirements that are already underway and must be met by July 16, 2022, nor is it intended to delay planning and deliverables tied to any grant award received and allotted by the department prior to April 1, 2021. To the extent that funds are appropriated for this specific purpose, the department and the authority must contract for a consultant to critically analyze the development and implementation technology and platforms and operational challenges to best position the solutions for success. Prior to initiation of a new information technology development, the department and authority shall submit the plan to the governor, office of financial management, and appropriate fiscal committees of the legislature. The plan must be approved by the office of the chief information officer, the director of the office of financial management, the senate ways and means committee chair, the house of representatives appropriations committee chair, the senate environment, energy and technology committee chair, the senate behavioral health subcommittee chair, and the house of representatives health care and wellness committee chair, which must occur before any funds are expended for the solutions. A draft plan must be submitted no later than January 1, 2022, and a final plan by August 31, 2022.</w:t>
      </w:r>
    </w:p>
    <w:p>
      <w:pPr>
        <w:spacing w:before="0" w:after="0" w:line="408" w:lineRule="exact"/>
        <w:ind w:left="0" w:right="0" w:firstLine="576"/>
        <w:jc w:val="left"/>
      </w:pPr>
      <w:r>
        <w:rPr/>
        <w:t xml:space="preserve">The plan submitted must include, but not be limited to:</w:t>
      </w:r>
    </w:p>
    <w:p>
      <w:pPr>
        <w:spacing w:before="0" w:after="0" w:line="408" w:lineRule="exact"/>
        <w:ind w:left="0" w:right="0" w:firstLine="576"/>
        <w:jc w:val="left"/>
      </w:pPr>
      <w:r>
        <w:rPr/>
        <w:t xml:space="preserve">(1) Data management;</w:t>
      </w:r>
    </w:p>
    <w:p>
      <w:pPr>
        <w:spacing w:before="0" w:after="0" w:line="408" w:lineRule="exact"/>
        <w:ind w:left="0" w:right="0" w:firstLine="576"/>
        <w:jc w:val="left"/>
      </w:pPr>
      <w:r>
        <w:rPr/>
        <w:t xml:space="preserve">(2) Data security;</w:t>
      </w:r>
    </w:p>
    <w:p>
      <w:pPr>
        <w:spacing w:before="0" w:after="0" w:line="408" w:lineRule="exact"/>
        <w:ind w:left="0" w:right="0" w:firstLine="576"/>
        <w:jc w:val="left"/>
      </w:pPr>
      <w:r>
        <w:rPr/>
        <w:t xml:space="preserve">(3) Data flow;</w:t>
      </w:r>
    </w:p>
    <w:p>
      <w:pPr>
        <w:spacing w:before="0" w:after="0" w:line="408" w:lineRule="exact"/>
        <w:ind w:left="0" w:right="0" w:firstLine="576"/>
        <w:jc w:val="left"/>
      </w:pPr>
      <w:r>
        <w:rPr/>
        <w:t xml:space="preserve">(4) Data access and permissions;</w:t>
      </w:r>
    </w:p>
    <w:p>
      <w:pPr>
        <w:spacing w:before="0" w:after="0" w:line="408" w:lineRule="exact"/>
        <w:ind w:left="0" w:right="0" w:firstLine="576"/>
        <w:jc w:val="left"/>
      </w:pPr>
      <w:r>
        <w:rPr/>
        <w:t xml:space="preserve">(5) Protocols to ensure staff are following proper health information privacy procedures;</w:t>
      </w:r>
    </w:p>
    <w:p>
      <w:pPr>
        <w:spacing w:before="0" w:after="0" w:line="408" w:lineRule="exact"/>
        <w:ind w:left="0" w:right="0" w:firstLine="576"/>
        <w:jc w:val="left"/>
      </w:pPr>
      <w:r>
        <w:rPr/>
        <w:t xml:space="preserve">(6) Cybersecurity requirements and how to meet these;</w:t>
      </w:r>
    </w:p>
    <w:p>
      <w:pPr>
        <w:spacing w:before="0" w:after="0" w:line="408" w:lineRule="exact"/>
        <w:ind w:left="0" w:right="0" w:firstLine="576"/>
        <w:jc w:val="left"/>
      </w:pPr>
      <w:r>
        <w:rPr/>
        <w:t xml:space="preserve">(7) Service level agreements by vendor;</w:t>
      </w:r>
    </w:p>
    <w:p>
      <w:pPr>
        <w:spacing w:before="0" w:after="0" w:line="408" w:lineRule="exact"/>
        <w:ind w:left="0" w:right="0" w:firstLine="576"/>
        <w:jc w:val="left"/>
      </w:pPr>
      <w:r>
        <w:rPr/>
        <w:t xml:space="preserve">(8) Maintenance and operations costs;</w:t>
      </w:r>
    </w:p>
    <w:p>
      <w:pPr>
        <w:spacing w:before="0" w:after="0" w:line="408" w:lineRule="exact"/>
        <w:ind w:left="0" w:right="0" w:firstLine="576"/>
        <w:jc w:val="left"/>
      </w:pPr>
      <w:r>
        <w:rPr/>
        <w:t xml:space="preserve">(9) Identification of what existing software as a service products might be applicable, to include the:</w:t>
      </w:r>
    </w:p>
    <w:p>
      <w:pPr>
        <w:spacing w:before="0" w:after="0" w:line="408" w:lineRule="exact"/>
        <w:ind w:left="0" w:right="0" w:firstLine="576"/>
        <w:jc w:val="left"/>
      </w:pPr>
      <w:r>
        <w:rPr/>
        <w:t xml:space="preserve">(a) Vendor name;</w:t>
      </w:r>
    </w:p>
    <w:p>
      <w:pPr>
        <w:spacing w:before="0" w:after="0" w:line="408" w:lineRule="exact"/>
        <w:ind w:left="0" w:right="0" w:firstLine="576"/>
        <w:jc w:val="left"/>
      </w:pPr>
      <w:r>
        <w:rPr/>
        <w:t xml:space="preserve">(b) Vendor offerings to include product module and functionality detail and whether each represent add-ons that must be paid separately;</w:t>
      </w:r>
    </w:p>
    <w:p>
      <w:pPr>
        <w:spacing w:before="0" w:after="0" w:line="408" w:lineRule="exact"/>
        <w:ind w:left="0" w:right="0" w:firstLine="576"/>
        <w:jc w:val="left"/>
      </w:pPr>
      <w:r>
        <w:rPr/>
        <w:t xml:space="preserve">(c) Vendor pricing structure by year through implementation; and</w:t>
      </w:r>
    </w:p>
    <w:p>
      <w:pPr>
        <w:spacing w:before="0" w:after="0" w:line="408" w:lineRule="exact"/>
        <w:ind w:left="0" w:right="0" w:firstLine="576"/>
        <w:jc w:val="left"/>
      </w:pPr>
      <w:r>
        <w:rPr/>
        <w:t xml:space="preserve">(d) Vendor pricing structure by year post implementation;</w:t>
      </w:r>
    </w:p>
    <w:p>
      <w:pPr>
        <w:spacing w:before="0" w:after="0" w:line="408" w:lineRule="exact"/>
        <w:ind w:left="0" w:right="0" w:firstLine="576"/>
        <w:jc w:val="left"/>
      </w:pPr>
      <w:r>
        <w:rPr/>
        <w:t xml:space="preserve">(10) Integration limitations by system;</w:t>
      </w:r>
    </w:p>
    <w:p>
      <w:pPr>
        <w:spacing w:before="0" w:after="0" w:line="408" w:lineRule="exact"/>
        <w:ind w:left="0" w:right="0" w:firstLine="576"/>
        <w:jc w:val="left"/>
      </w:pPr>
      <w:r>
        <w:rPr/>
        <w:t xml:space="preserve">(11) Data analytic and performance metrics to be required by system;</w:t>
      </w:r>
    </w:p>
    <w:p>
      <w:pPr>
        <w:spacing w:before="0" w:after="0" w:line="408" w:lineRule="exact"/>
        <w:ind w:left="0" w:right="0" w:firstLine="576"/>
        <w:jc w:val="left"/>
      </w:pPr>
      <w:r>
        <w:rPr/>
        <w:t xml:space="preserve">(12) Liability;</w:t>
      </w:r>
    </w:p>
    <w:p>
      <w:pPr>
        <w:spacing w:before="0" w:after="0" w:line="408" w:lineRule="exact"/>
        <w:ind w:left="0" w:right="0" w:firstLine="576"/>
        <w:jc w:val="left"/>
      </w:pPr>
      <w:r>
        <w:rPr/>
        <w:t xml:space="preserve">(13) Which agency will host the electronic health record software as a service;</w:t>
      </w:r>
    </w:p>
    <w:p>
      <w:pPr>
        <w:spacing w:before="0" w:after="0" w:line="408" w:lineRule="exact"/>
        <w:ind w:left="0" w:right="0" w:firstLine="576"/>
        <w:jc w:val="left"/>
      </w:pPr>
      <w:r>
        <w:rPr/>
        <w:t xml:space="preserve">(14) Regulatory agency;</w:t>
      </w:r>
    </w:p>
    <w:p>
      <w:pPr>
        <w:spacing w:before="0" w:after="0" w:line="408" w:lineRule="exact"/>
        <w:ind w:left="0" w:right="0" w:firstLine="576"/>
        <w:jc w:val="left"/>
      </w:pPr>
      <w:r>
        <w:rPr/>
        <w:t xml:space="preserve">(15) The timeline by fiscal year from initiation to implementation for each solution in this act;</w:t>
      </w:r>
    </w:p>
    <w:p>
      <w:pPr>
        <w:spacing w:before="0" w:after="0" w:line="408" w:lineRule="exact"/>
        <w:ind w:left="0" w:right="0" w:firstLine="576"/>
        <w:jc w:val="left"/>
      </w:pPr>
      <w:r>
        <w:rPr/>
        <w:t xml:space="preserve">(16) How to plan in a manner that ensures efficient use of state resources and maximizes federal financial participation; and</w:t>
      </w:r>
    </w:p>
    <w:p>
      <w:pPr>
        <w:spacing w:before="0" w:after="0" w:line="408" w:lineRule="exact"/>
        <w:ind w:left="0" w:right="0" w:firstLine="576"/>
        <w:jc w:val="left"/>
      </w:pPr>
      <w:r>
        <w:rPr/>
        <w:t xml:space="preserve">(17) A complete comprehensive business plan analysis."</w:t>
      </w:r>
    </w:p>
    <w:p>
      <w:pPr>
        <w:spacing w:before="0" w:after="0" w:line="408" w:lineRule="exact"/>
        <w:ind w:left="0" w:right="0" w:firstLine="576"/>
        <w:jc w:val="left"/>
      </w:pPr>
      <w:r>
        <w:rPr>
          <w:u w:val="single"/>
        </w:rPr>
        <w:t xml:space="preserve">EFFECT:</w:t>
      </w:r>
      <w:r>
        <w:rPr/>
        <w:t xml:space="preserve"> Requires the Department of Health (DOH) and the Health Care Authority (HCA) to create a sophisticated technical and operational plan with specified components related to development of the technology and platforms needed to manage and operate the behavioral health crisis response and suicide prevention system under this Act. The plan is not intended to delay planning that is underway by DOH to comply with the federal requirements, nor delay existing planning grant requirements. DOH and HCA must submit a draft plan to the Governor, Office of Financial Management, and appropriate fiscal committees of the Legislature by January 1, 2022, and a final plan by August 31, 2022. Before the initiation of information technology development and before any funds are expended for solutions, approvals must be obtained from the Office of the Chief Information Officer, the director of the Office of Financial Management, the Senate Ways &amp; Means Committee chair, the House of Representatives Appropriations Committee chair, the Senate Environment, Energy and Technology committee chair, the Senate Behavioral Health Subcommittee chair, and the House of Representatives Health Care and Wellness Committee chair. Subject to funding, DOH and HCA must contract for a consultant to critically analyze the platforms and operational challenges to best position the solutions for success.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991cf2068845c6" /></Relationships>
</file>