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60a2872e646a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1355-S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S2617.1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1355</w:t>
      </w:r>
      <w:r>
        <w:t xml:space="preserve"> -</w:t>
      </w:r>
      <w:r>
        <w:t xml:space="preserve"> </w:t>
        <w:t xml:space="preserve">S AMD TO WM COMM AMD (S-2612.1/21)</w:t>
      </w:r>
      <w:r>
        <w:t xml:space="preserve"> </w:t>
      </w:r>
      <w:r>
        <w:rPr>
          <w:b/>
        </w:rPr>
        <w:t xml:space="preserve">653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6,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parties</w:t>
      </w:r>
      <w:r>
        <w:rPr/>
        <w:t xml:space="preserve">" and insert "</w:t>
      </w:r>
      <w:r>
        <w:rPr>
          <w:u w:val="single"/>
        </w:rPr>
        <w:t xml:space="preserve">state noxious weed control board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8,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group</w:t>
      </w:r>
      <w:r>
        <w:rPr/>
        <w:t xml:space="preserve">" and insert "</w:t>
      </w:r>
      <w:r>
        <w:rPr>
          <w:u w:val="single"/>
        </w:rPr>
        <w:t xml:space="preserve">state noxious weed control board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12, after "institutions" insert "</w:t>
      </w:r>
      <w:r>
        <w:rPr>
          <w:u w:val="single"/>
        </w:rPr>
        <w:t xml:space="preserve">or county agencies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state noxious weed control board must update before January 1, 2022, and report to the appropriate legislative committees by January 1, 2023, on the development of a system to identify Department of Transportation parcels for assessment. Clarifies that certain county agencies must implement integrated pest management practices.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414e5974d4938" /></Relationships>
</file>