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9eccfea85483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1277-S2.E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S2992.1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1277</w:t>
      </w:r>
      <w:r>
        <w:t xml:space="preserve"> -</w:t>
      </w:r>
      <w:r>
        <w:t xml:space="preserve"> </w:t>
        <w:t xml:space="preserve">S AMD TO WM COMM AMD (S-2934.1/21)</w:t>
      </w:r>
      <w:r>
        <w:t xml:space="preserve"> </w:t>
      </w:r>
      <w:r>
        <w:rPr>
          <w:b/>
        </w:rPr>
        <w:t xml:space="preserve">836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ADOPTED 04/24/2021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33, after "</w:t>
      </w:r>
      <w:r>
        <w:rPr>
          <w:u w:val="single"/>
        </w:rPr>
        <w:t xml:space="preserve">act</w:t>
      </w:r>
      <w:r>
        <w:rPr/>
        <w:t xml:space="preserve">." insert "</w:t>
      </w:r>
      <w:r>
        <w:rPr>
          <w:u w:val="single"/>
        </w:rPr>
        <w:t xml:space="preserve">After June 30, 2023, the department must award funds for project-based vouchers for nonprofit housing providers and related services, rapid rehousing, and housing acquisition under section 1 of this act to eligible grantees in a manner that 25 percent of funding is distributed as a performance-based allocation, in addition to any base allocation of funding, to counties that demonstrate a reduction in its unsheltered population over the previous two years.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20, after "</w:t>
      </w:r>
      <w:r>
        <w:rPr>
          <w:u w:val="single"/>
        </w:rPr>
        <w:t xml:space="preserve">act</w:t>
      </w:r>
      <w:r>
        <w:rPr/>
        <w:t xml:space="preserve">." insert "</w:t>
      </w:r>
      <w:r>
        <w:rPr>
          <w:u w:val="single"/>
        </w:rPr>
        <w:t xml:space="preserve">After June 30, 2023, the department must award funds for operations, maintenance, and services as described in section 1(1)(a) of this act to eligible grantees in a manner that 25 percent of funding is distributed as a performance-based allocation, in addition to any base allocation of funding, to counties that demonstrate a reduction in its unsheltered population over the previous two years.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way that funding is distributed for permanent supportive housing, project-based vouchers for nonprofit housing providers and related services, rapid rehousing, and housing acquisition after June 30, 2023, so that 25 percent of the funds are used for performance-based allocations to counties that demonstrate a reduction in unsheltered population over the previous two years.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4601f5fcd458a" /></Relationships>
</file>