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4be3b8a3436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S2764.1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after line 39,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(d) Participation in the planning process and any subsequent negotiations must comply with the public participation program established by the local government or regional planning authority pursuant to RCW 36.70A.140.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Ensures that tribal mediation complies with existing public participation timelines.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0666318d54634" /></Relationships>
</file>