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fee1408434e5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1241-S.E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S2760.1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1241</w:t>
      </w:r>
      <w:r>
        <w:t xml:space="preserve"> -</w:t>
      </w:r>
      <w:r>
        <w:t xml:space="preserve"> </w:t>
        <w:t xml:space="preserve">S AMD TO HLG COMM AMD (S-2308.1/21)</w:t>
      </w:r>
      <w:r>
        <w:t xml:space="preserve"> </w:t>
      </w:r>
      <w:r>
        <w:rPr>
          <w:b/>
        </w:rPr>
        <w:t xml:space="preserve">773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CONSIDERED 04/26/2021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18, strike "</w:t>
      </w:r>
      <w:r>
        <w:rPr>
          <w:u w:val="single"/>
        </w:rPr>
        <w:t xml:space="preserve">6,000</w:t>
      </w:r>
      <w:r>
        <w:rPr/>
        <w:t xml:space="preserve">" and insert "</w:t>
      </w:r>
      <w:r>
        <w:rPr>
          <w:u w:val="single"/>
        </w:rPr>
        <w:t xml:space="preserve">7,500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Increases the size of cities that must submit a implementation progress report to 7,500.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fbafa28f744f0" /></Relationships>
</file>