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50b958435d4826"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MCCU</w:t>
        </w:r>
      </w:r>
      <w:r>
        <w:rPr>
          <w:b/>
        </w:rPr>
        <w:t xml:space="preserve"> </w:t>
        <w:r>
          <w:rPr/>
          <w:t xml:space="preserve">S2819.1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789</w:t>
      </w:r>
    </w:p>
    <w:p>
      <w:pPr>
        <w:spacing w:before="0" w:after="0" w:line="408" w:lineRule="exact"/>
        <w:ind w:left="0" w:right="0" w:firstLine="576"/>
        <w:jc w:val="left"/>
      </w:pPr>
      <w:r>
        <w:rPr/>
        <w:t xml:space="preserve">By Senator McCune</w:t>
      </w:r>
    </w:p>
    <w:p>
      <w:pPr>
        <w:jc w:val="right"/>
      </w:pPr>
      <w:r>
        <w:rPr>
          <w:b/>
        </w:rPr>
        <w:t xml:space="preserve">NOT CONSIDERED 04/26/2021</w:t>
      </w:r>
    </w:p>
    <w:p>
      <w:pPr>
        <w:spacing w:before="0" w:after="0" w:line="408" w:lineRule="exact"/>
        <w:ind w:left="0" w:right="0" w:firstLine="576"/>
        <w:jc w:val="left"/>
      </w:pPr>
      <w:r>
        <w:rPr/>
        <w:t xml:space="preserve">On page 29, after line 38,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a county or city failed to submit a comprehensive plan or master program update by the deadlines established in RCW 36.70A.130(5)(a) or 90.58.080(4)(b) (iii) and (iv), but a petition under this subsection (1)(f) may not be filed unless at least 24 months after the established deadline have passed</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1241</w:t>
      </w:r>
      <w:r>
        <w:t xml:space="preserve"> -</w:t>
      </w:r>
      <w:r>
        <w:t xml:space="preserve"> </w:t>
        <w:t xml:space="preserve">S AMD TO HLG COMM AMD (S-2308.1/21)</w:t>
      </w:r>
      <w:r>
        <w:t xml:space="preserve"> </w:t>
      </w:r>
      <w:r>
        <w:rPr>
          <w:b/>
        </w:rPr>
        <w:t xml:space="preserve">789</w:t>
      </w:r>
    </w:p>
    <w:p>
      <w:pPr>
        <w:spacing w:before="0" w:after="0" w:line="408" w:lineRule="exact"/>
        <w:ind w:left="0" w:right="0" w:firstLine="576"/>
        <w:jc w:val="left"/>
      </w:pPr>
      <w:r>
        <w:rPr/>
        <w:t xml:space="preserve">By Senator McCune</w:t>
      </w:r>
    </w:p>
    <w:p>
      <w:pPr>
        <w:jc w:val="right"/>
      </w:pPr>
      <w:r>
        <w:rPr>
          <w:b/>
        </w:rPr>
        <w:t xml:space="preserve">NOT CONSIDERED 04/26/2021</w:t>
      </w:r>
    </w:p>
    <w:p>
      <w:pPr>
        <w:spacing w:before="0" w:after="0" w:line="408" w:lineRule="exact"/>
        <w:ind w:left="0" w:right="0" w:firstLine="576"/>
        <w:jc w:val="left"/>
      </w:pPr>
      <w:r>
        <w:rPr/>
        <w:t xml:space="preserve">On page 30, beginning on line 7, after "36.70A.190," strike "and 36.70A.210" and insert "36.70A.210, and 36.70A.280"</w:t>
      </w:r>
    </w:p>
    <w:p>
      <w:pPr>
        <w:spacing w:before="0" w:after="0" w:line="408" w:lineRule="exact"/>
        <w:ind w:left="0" w:right="0" w:firstLine="576"/>
        <w:jc w:val="left"/>
      </w:pPr>
      <w:r>
        <w:rPr>
          <w:u w:val="single"/>
        </w:rPr>
        <w:t xml:space="preserve">EFFECT:</w:t>
      </w:r>
      <w:r>
        <w:rPr/>
        <w:t xml:space="preserve"> Provides that the Growth Management Hearings Board (GMHB) may hear appeals related to a county or city that failed to submit a comprehensive plan or master program update by the deadlines in situations in which the petition has been filed at least 24 months after the established deadline have passed.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c43122926d4006" /></Relationships>
</file>