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b8e68914e459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S2774.1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"chapter" insert "</w:t>
      </w:r>
      <w:r>
        <w:rPr>
          <w:u w:val="single"/>
        </w:rPr>
        <w:t xml:space="preserve">within the five years following the publishing of the federal census to ensure the counties have complete data with which to review the comprehensive plan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jurisdictions the option to time the review of their comprehensive plans within the five years following the publishing of the federal census.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a42fe215e4dad" /></Relationships>
</file>