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61d6327d46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S2792.1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1241</w:t>
      </w:r>
      <w:r>
        <w:t xml:space="preserve"> -</w:t>
      </w:r>
      <w:r>
        <w:t xml:space="preserve"> </w:t>
        <w:t xml:space="preserve">S AMD TO HLG COMM AMD (S-2308.1/21)</w:t>
      </w:r>
      <w:r>
        <w:t xml:space="preserve"> </w:t>
      </w:r>
      <w:r>
        <w:rPr>
          <w:b/>
        </w:rPr>
        <w:t xml:space="preserve">765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1, after "(2)" strike "Based upon the" and insert "((</w:t>
      </w:r>
      <w:r>
        <w:rPr>
          <w:strike/>
        </w:rPr>
        <w:t xml:space="preserve">Based upon the</w:t>
      </w:r>
      <w:r>
        <w:rPr/>
        <w:t xml:space="preserve">)) </w:t>
      </w:r>
      <w:r>
        <w:rPr>
          <w:u w:val="single"/>
        </w:rPr>
        <w:t xml:space="preserve">Counties and cities within the counties may use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1, after "projection" insert "</w:t>
      </w:r>
      <w:r>
        <w:rPr>
          <w:u w:val="single"/>
        </w:rPr>
        <w:t xml:space="preserve">and median household income estimates and projections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beginning on line 2, after "management" strike all material through "sufficient" on line 4 and insert "((</w:t>
      </w:r>
      <w:r>
        <w:rPr>
          <w:strike/>
        </w:rPr>
        <w:t xml:space="preserve">, the county and each city within the county shall include areas and densities sufficient</w:t>
      </w:r>
      <w:r>
        <w:rPr/>
        <w:t xml:space="preserve">)) </w:t>
      </w:r>
      <w:r>
        <w:rPr>
          <w:u w:val="single"/>
        </w:rPr>
        <w:t xml:space="preserve">and the housing inventory characteristics, values, resident characteristics, and forecasted housing gap prepared by the affordable housing advisory board established in RCW 43.185B.020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5, after "period" insert "</w:t>
      </w:r>
      <w:r>
        <w:rPr>
          <w:u w:val="single"/>
        </w:rPr>
        <w:t xml:space="preserve">in such a way as to encourage a variety of housing types, values, and densities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planning jurisdictions to utilize median household income estimates and housing forecasts prepared by the Department of Commerce Affordable Housing Advisory Board to permit urban growth in a way that encourages a variety of housing types, values, and densities.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72f6f9d44a20" /></Relationships>
</file>