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57991938b714660" /></Relationships>
</file>

<file path=word/document.xml><?xml version="1.0" encoding="utf-8"?>
<w:document xmlns:w="http://schemas.openxmlformats.org/wordprocessingml/2006/main">
  <w:body>
    <w:p>
      <w:r>
        <w:rPr>
          <w:b/>
        </w:rPr>
        <w:r>
          <w:rPr/>
          <w:t xml:space="preserve">1220-S2.E</w:t>
        </w:r>
      </w:r>
      <w:r>
        <w:rPr>
          <w:b/>
        </w:rPr>
        <w:t xml:space="preserve"> </w:t>
        <w:t xml:space="preserve">AMS</w:t>
      </w:r>
      <w:r>
        <w:rPr>
          <w:b/>
        </w:rPr>
        <w:t xml:space="preserve"> </w:t>
        <w:r>
          <w:rPr/>
          <w:t xml:space="preserve">KUDE</w:t>
        </w:r>
      </w:r>
      <w:r>
        <w:rPr>
          <w:b/>
        </w:rPr>
        <w:t xml:space="preserve"> </w:t>
        <w:r>
          <w:rPr/>
          <w:t xml:space="preserve">S2707.2</w:t>
        </w:r>
      </w:r>
      <w:r>
        <w:rPr>
          <w:b/>
        </w:rPr>
        <w:t xml:space="preserve"> - NOT FOR FLOOR USE</w:t>
      </w:r>
    </w:p>
    <w:p>
      <w:pPr>
        <w:ind w:left="0" w:right="0" w:firstLine="576"/>
      </w:pPr>
    </w:p>
    <w:p>
      <w:pPr>
        <w:spacing w:before="480" w:after="0" w:line="408" w:lineRule="exact"/>
      </w:pPr>
      <w:r>
        <w:rPr>
          <w:b/>
          <w:u w:val="single"/>
        </w:rPr>
        <w:t xml:space="preserve">E2SHB 1220</w:t>
      </w:r>
      <w:r>
        <w:t xml:space="preserve"> -</w:t>
      </w:r>
      <w:r>
        <w:t xml:space="preserve"> </w:t>
        <w:t xml:space="preserve">S AMD</w:t>
      </w:r>
      <w:r>
        <w:t xml:space="preserve"> </w:t>
      </w:r>
      <w:r>
        <w:rPr>
          <w:b/>
        </w:rPr>
        <w:t xml:space="preserve">675</w:t>
      </w:r>
    </w:p>
    <w:p>
      <w:pPr>
        <w:spacing w:before="0" w:after="0" w:line="408" w:lineRule="exact"/>
        <w:ind w:left="0" w:right="0" w:firstLine="576"/>
        <w:jc w:val="left"/>
      </w:pPr>
      <w:r>
        <w:rPr/>
        <w:t xml:space="preserve">By Senator Kuderer</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w:t>
      </w:r>
      <w:r>
        <w:t>((</w:t>
      </w:r>
      <w:r>
        <w:rPr>
          <w:strike/>
        </w:rPr>
        <w:t xml:space="preserve">Encourage the availability of affordable</w:t>
      </w:r>
      <w:r>
        <w:t>))</w:t>
      </w:r>
      <w:r>
        <w:rPr/>
        <w:t xml:space="preserve"> </w:t>
      </w:r>
      <w:r>
        <w:rPr>
          <w:u w:val="single"/>
        </w:rPr>
        <w:t xml:space="preserve">Plan for and accommodate</w:t>
      </w:r>
      <w:r>
        <w:rPr/>
        <w:t xml:space="preserve"> housing </w:t>
      </w:r>
      <w:r>
        <w:rPr>
          <w:u w:val="single"/>
        </w:rPr>
        <w:t xml:space="preserve">affordable</w:t>
      </w:r>
      <w:r>
        <w:rPr/>
        <w:t xml:space="preserv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w:t>
      </w:r>
      <w:r>
        <w:rPr>
          <w:u w:val="single"/>
        </w:rPr>
        <w:t xml:space="preserve">, as provided by the department of commerce, including:</w:t>
      </w:r>
    </w:p>
    <w:p>
      <w:pPr>
        <w:spacing w:before="0" w:after="0" w:line="408" w:lineRule="exact"/>
        <w:ind w:left="0" w:right="0" w:firstLine="576"/>
        <w:jc w:val="left"/>
      </w:pPr>
      <w:r>
        <w:rPr>
          <w:u w:val="single"/>
        </w:rPr>
        <w:t xml:space="preserve">(i) Units for moderate, low, very low, and extremely low-income households; and</w:t>
      </w:r>
    </w:p>
    <w:p>
      <w:pPr>
        <w:spacing w:before="0" w:after="0" w:line="408" w:lineRule="exact"/>
        <w:ind w:left="0" w:right="0" w:firstLine="576"/>
        <w:jc w:val="left"/>
      </w:pPr>
      <w:r>
        <w:rPr>
          <w:u w:val="single"/>
        </w:rPr>
        <w:t xml:space="preserve">(ii) Emergency housing, emergency shelters, and permanent supportive housing</w:t>
      </w:r>
      <w:r>
        <w:rPr/>
        <w:t xml:space="preserve">;</w:t>
      </w:r>
    </w:p>
    <w:p>
      <w:pPr>
        <w:spacing w:before="0" w:after="0" w:line="408" w:lineRule="exact"/>
        <w:ind w:left="0" w:right="0" w:firstLine="576"/>
        <w:jc w:val="left"/>
      </w:pPr>
      <w:r>
        <w:rPr/>
        <w:t xml:space="preserve">(b) </w:t>
      </w:r>
      <w:r>
        <w:t>((</w:t>
      </w:r>
      <w:r>
        <w:rPr>
          <w:strike/>
        </w:rPr>
        <w:t xml:space="preserve">includes</w:t>
      </w:r>
      <w:r>
        <w:t>))</w:t>
      </w:r>
      <w:r>
        <w:rPr/>
        <w:t xml:space="preserve"> </w:t>
      </w:r>
      <w:r>
        <w:rPr>
          <w:u w:val="single"/>
        </w:rPr>
        <w:t xml:space="preserve">Includes</w:t>
      </w:r>
      <w:r>
        <w:rPr/>
        <w:t xml:space="preserve"> a statement of goals, policies, objectives, and mandatory provisions for the preservation, improvement, and development of housing, including single-family residences</w:t>
      </w:r>
      <w:r>
        <w:rPr>
          <w:u w:val="single"/>
        </w:rPr>
        <w:t xml:space="preserve">, and within an urban growth area boundary, moderate density housing options including but not limited to, duplexes, triplexes, and townhomes</w:t>
      </w:r>
      <w:r>
        <w:rPr/>
        <w:t xml:space="preserve">;</w:t>
      </w:r>
    </w:p>
    <w:p>
      <w:pPr>
        <w:spacing w:before="0" w:after="0" w:line="408" w:lineRule="exact"/>
        <w:ind w:left="0" w:right="0" w:firstLine="576"/>
        <w:jc w:val="left"/>
      </w:pPr>
      <w:r>
        <w:rPr/>
        <w:t xml:space="preserve">(c) </w:t>
      </w:r>
      <w:r>
        <w:t>((</w:t>
      </w:r>
      <w:r>
        <w:rPr>
          <w:strike/>
        </w:rPr>
        <w:t xml:space="preserve">identifies</w:t>
      </w:r>
      <w:r>
        <w:t>))</w:t>
      </w:r>
      <w:r>
        <w:rPr/>
        <w:t xml:space="preserve"> </w:t>
      </w:r>
      <w:r>
        <w:rPr>
          <w:u w:val="single"/>
        </w:rPr>
        <w:t xml:space="preserve">Identifies</w:t>
      </w:r>
      <w:r>
        <w:rPr/>
        <w:t xml:space="preserve"> sufficient </w:t>
      </w:r>
      <w:r>
        <w:rPr>
          <w:u w:val="single"/>
        </w:rPr>
        <w:t xml:space="preserve">capacity of</w:t>
      </w:r>
      <w:r>
        <w:rPr/>
        <w:t xml:space="preserve"> land for housing</w:t>
      </w:r>
      <w:r>
        <w:t>((</w:t>
      </w:r>
      <w:r>
        <w:rPr>
          <w:strike/>
        </w:rPr>
        <w:t xml:space="preserve">,</w:t>
      </w:r>
      <w:r>
        <w:t>))</w:t>
      </w:r>
      <w:r>
        <w:rPr/>
        <w:t xml:space="preserve"> including, but not limited to, government-assisted housing, housing for </w:t>
      </w:r>
      <w:r>
        <w:t>((</w:t>
      </w:r>
      <w:r>
        <w:rPr>
          <w:strike/>
        </w:rPr>
        <w:t xml:space="preserve">low-income families</w:t>
      </w:r>
      <w:r>
        <w:t>))</w:t>
      </w:r>
      <w:r>
        <w:rPr/>
        <w:t xml:space="preserve"> </w:t>
      </w:r>
      <w:r>
        <w:rPr>
          <w:u w:val="single"/>
        </w:rPr>
        <w:t xml:space="preserve">moderate, low, very low, and extremely low-income households</w:t>
      </w:r>
      <w:r>
        <w:rPr/>
        <w:t xml:space="preserve">, manufactured housing, multifamily housing, </w:t>
      </w:r>
      <w:r>
        <w:t>((</w:t>
      </w:r>
      <w:r>
        <w:rPr>
          <w:strike/>
        </w:rPr>
        <w:t xml:space="preserve">and</w:t>
      </w:r>
      <w:r>
        <w:t>))</w:t>
      </w:r>
      <w:r>
        <w:rPr/>
        <w:t xml:space="preserve"> group homes </w:t>
      </w:r>
      <w:r>
        <w:t>((</w:t>
      </w:r>
      <w:r>
        <w:rPr>
          <w:strike/>
        </w:rPr>
        <w:t xml:space="preserve">and</w:t>
      </w:r>
      <w:r>
        <w:t>))</w:t>
      </w:r>
      <w:r>
        <w:rPr>
          <w:u w:val="single"/>
        </w:rPr>
        <w:t xml:space="preserve">,</w:t>
      </w:r>
      <w:r>
        <w:rPr/>
        <w:t xml:space="preserve"> foster care facilities</w:t>
      </w:r>
      <w:r>
        <w:rPr>
          <w:u w:val="single"/>
        </w:rPr>
        <w:t xml:space="preserve">, emergency housing, emergency shelters, permanent supportive housing, and within an urban growth area boundary, consideration of duplexes, triplexes, and townhomes</w:t>
      </w:r>
      <w:r>
        <w:rPr/>
        <w:t xml:space="preserve">; </w:t>
      </w:r>
      <w:r>
        <w:t>((</w:t>
      </w:r>
      <w:r>
        <w:rPr>
          <w:strike/>
        </w:rPr>
        <w:t xml:space="preserve">and</w:t>
      </w:r>
      <w:r>
        <w:t>))</w:t>
      </w:r>
    </w:p>
    <w:p>
      <w:pPr>
        <w:spacing w:before="0" w:after="0" w:line="408" w:lineRule="exact"/>
        <w:ind w:left="0" w:right="0" w:firstLine="576"/>
        <w:jc w:val="left"/>
      </w:pPr>
      <w:r>
        <w:rPr/>
        <w:t xml:space="preserve">(d) </w:t>
      </w:r>
      <w:r>
        <w:t>((</w:t>
      </w:r>
      <w:r>
        <w:rPr>
          <w:strike/>
        </w:rPr>
        <w:t xml:space="preserve">makes</w:t>
      </w:r>
      <w:r>
        <w:t>))</w:t>
      </w:r>
      <w:r>
        <w:rPr/>
        <w:t xml:space="preserve"> </w:t>
      </w:r>
      <w:r>
        <w:rPr>
          <w:u w:val="single"/>
        </w:rPr>
        <w:t xml:space="preserve">Makes</w:t>
      </w:r>
      <w:r>
        <w:rPr/>
        <w:t xml:space="preserve"> adequate provisions for existing and projected needs of all economic segments of the community</w:t>
      </w:r>
      <w:r>
        <w:rPr>
          <w:u w:val="single"/>
        </w:rPr>
        <w:t xml:space="preserve">, including:</w:t>
      </w:r>
    </w:p>
    <w:p>
      <w:pPr>
        <w:spacing w:before="0" w:after="0" w:line="408" w:lineRule="exact"/>
        <w:ind w:left="0" w:right="0" w:firstLine="576"/>
        <w:jc w:val="left"/>
      </w:pPr>
      <w:r>
        <w:rPr>
          <w:u w:val="single"/>
        </w:rPr>
        <w:t xml:space="preserve">(i) Incorporating consideration for low, very low, extremely low, and moderate-income households;</w:t>
      </w:r>
    </w:p>
    <w:p>
      <w:pPr>
        <w:spacing w:before="0" w:after="0" w:line="408" w:lineRule="exact"/>
        <w:ind w:left="0" w:right="0" w:firstLine="576"/>
        <w:jc w:val="left"/>
      </w:pPr>
      <w:r>
        <w:rPr>
          <w:u w:val="single"/>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u w:val="single"/>
        </w:rPr>
        <w:t xml:space="preserve">(iii) Consideration of housing locations in relation to employment location; and</w:t>
      </w:r>
    </w:p>
    <w:p>
      <w:pPr>
        <w:spacing w:before="0" w:after="0" w:line="408" w:lineRule="exact"/>
        <w:ind w:left="0" w:right="0" w:firstLine="576"/>
        <w:jc w:val="left"/>
      </w:pPr>
      <w:r>
        <w:rPr>
          <w:u w:val="single"/>
        </w:rPr>
        <w:t xml:space="preserve">(iv) Consideration of the role of accessory dwelling units in meeting housing needs;</w:t>
      </w:r>
    </w:p>
    <w:p>
      <w:pPr>
        <w:spacing w:before="0" w:after="0" w:line="408" w:lineRule="exact"/>
        <w:ind w:left="0" w:right="0" w:firstLine="576"/>
        <w:jc w:val="left"/>
      </w:pPr>
      <w:r>
        <w:rPr>
          <w:u w:val="single"/>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u w:val="single"/>
        </w:rPr>
        <w:t xml:space="preserve">(i) Zoning that may have a discriminatory effect;</w:t>
      </w:r>
    </w:p>
    <w:p>
      <w:pPr>
        <w:spacing w:before="0" w:after="0" w:line="408" w:lineRule="exact"/>
        <w:ind w:left="0" w:right="0" w:firstLine="576"/>
        <w:jc w:val="left"/>
      </w:pPr>
      <w:r>
        <w:rPr>
          <w:u w:val="single"/>
        </w:rPr>
        <w:t xml:space="preserve">(ii) Disinvestment; and</w:t>
      </w:r>
    </w:p>
    <w:p>
      <w:pPr>
        <w:spacing w:before="0" w:after="0" w:line="408" w:lineRule="exact"/>
        <w:ind w:left="0" w:right="0" w:firstLine="576"/>
        <w:jc w:val="left"/>
      </w:pPr>
      <w:r>
        <w:rPr>
          <w:u w:val="single"/>
        </w:rPr>
        <w:t xml:space="preserve">(iii) Infrastructure availability;</w:t>
      </w:r>
    </w:p>
    <w:p>
      <w:pPr>
        <w:spacing w:before="0" w:after="0" w:line="408" w:lineRule="exact"/>
        <w:ind w:left="0" w:right="0" w:firstLine="576"/>
        <w:jc w:val="left"/>
      </w:pPr>
      <w:r>
        <w:rPr>
          <w:u w:val="single"/>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u w:val="single"/>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u w:val="single"/>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r>
        <w:rPr/>
        <w:t xml:space="preserve">.</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w:t>
      </w:r>
      <w:r>
        <w:rPr>
          <w:u w:val="single"/>
        </w:rPr>
        <w:t xml:space="preserve">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(23)</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(23)</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shall not prohibit transitional housing or permanent supportive housing in any zones in which residential dwelling units or hotels are allowed. Effective September 30, 2021, a code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code city's projected need for such housing and shelter under RCW 36.70A.070(2)(a)(ii).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shall not prohibit transitional housing or permanent supportive housing in any zones in which residential dwelling units or hotels are allowed. Effective September 30, 2021, a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city's projected need for such housing and shelter under RCW 36.70A.070(2)(a)(ii).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390</w:t>
      </w:r>
      <w:r>
        <w:rPr/>
        <w:t xml:space="preserve"> and 1992 c 207 s 6 are each amended to read as follows:</w:t>
      </w:r>
    </w:p>
    <w:p>
      <w:pPr>
        <w:spacing w:before="0" w:after="0" w:line="408" w:lineRule="exact"/>
        <w:ind w:left="0" w:right="0" w:firstLine="576"/>
        <w:jc w:val="left"/>
      </w:pPr>
      <w:r>
        <w:rPr/>
        <w:t xml:space="preserve">A county or city governing body that adopts a moratorium, interim zoning map, interim zoning ordinance, or interim official control without holding a public hearing on the proposed moratorium, interim zoning map, interim zoning ordinance, or interim official control, shall hold a public hearing on the adopted moratorium, interim zoning map, interim zoning ordinance, or interim official control within at least sixty days of its adoption, whether or not the governing body received a recommendation on the matter from the planning commission or department. If the governing body does not adopt findings of fact justifying its action before this hearing, then the governing body shall do so immediately after this public hearing. A moratorium, interim zoning map, interim zoning ordinance, or interim official control adopted under this section may be effective for not longer than six months, but may be effective for up to one year if a work plan is developed for related studies providing for such a longer period. A moratorium, interim zoning map, interim zoning ordinance, or interim official control may be renewed for one or more six-month periods if a subsequent public hearing is held and findings of fact are made prior to each renewal.</w:t>
      </w:r>
    </w:p>
    <w:p>
      <w:pPr>
        <w:spacing w:before="0" w:after="0" w:line="408" w:lineRule="exact"/>
        <w:ind w:left="0" w:right="0" w:firstLine="576"/>
        <w:jc w:val="left"/>
      </w:pPr>
      <w:r>
        <w:rPr/>
        <w:t xml:space="preserve">This section does not apply to the designation of critical areas, agricultural lands, forestlands, and mineral resource lands, under RCW 36.70A.170, and the conservation of these lands and protection of these areas under RCW 36.70A.060, prior to such actions being taken in a comprehensive plan adopted under RCW 36.70A.070 and implementing development regulations adopted under RCW 36.70A.120, if a public hearing is held on such proposed actions. </w:t>
      </w:r>
      <w:r>
        <w:rPr>
          <w:u w:val="single"/>
        </w:rPr>
        <w:t xml:space="preserve">This section does not apply to ordinances or development regulations adopted by a city that prohibit building permit applications for or the construction of transitional housing or permanent supportive housing in any zones in which residential dwelling units or hotels are allowed or prohibit building permit applications for or the construction of indoor emergency shelters and indoor emergency housing in any zones in which hotels are 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2020 c 173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w:t>
      </w:r>
      <w:r>
        <w:rPr>
          <w:u w:val="single"/>
        </w:rPr>
        <w:t xml:space="preserve">"Emergency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u w:val="single"/>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u w:val="single"/>
        </w:rPr>
        <w:t xml:space="preserve">(11)</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"Minerals" include gravel, sand, and valuable metallic substances.</w:t>
      </w:r>
    </w:p>
    <w:p>
      <w:pPr>
        <w:spacing w:before="0" w:after="0" w:line="408" w:lineRule="exact"/>
        <w:ind w:left="0" w:right="0" w:firstLine="576"/>
        <w:jc w:val="left"/>
      </w:pPr>
      <w:r>
        <w:t>((</w:t>
      </w:r>
      <w:r>
        <w:rPr>
          <w:strike/>
        </w:rPr>
        <w:t xml:space="preserve">(16)</w:t>
      </w:r>
      <w:r>
        <w:t>))</w:t>
      </w:r>
      <w:r>
        <w:rPr/>
        <w:t xml:space="preserve"> </w:t>
      </w:r>
      <w:r>
        <w:rPr>
          <w:u w:val="single"/>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(19)</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(27)</w:t>
      </w:r>
      <w:r>
        <w:t>))</w:t>
      </w:r>
      <w:r>
        <w:rPr/>
        <w:t xml:space="preserve"> </w:t>
      </w:r>
      <w:r>
        <w:rPr>
          <w:u w:val="single"/>
        </w:rPr>
        <w:t xml:space="preserve">(30)</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addition to ordinances, development regulations, and other official controls adopted or amended, a city or county should consider policies to encourage the construction of accessory dwelling units as a way to meet affordable housing goals. These policies could include, but are not limited to:</w:t>
      </w:r>
    </w:p>
    <w:p>
      <w:pPr>
        <w:spacing w:before="0" w:after="0" w:line="408" w:lineRule="exact"/>
        <w:ind w:left="0" w:right="0" w:firstLine="576"/>
        <w:jc w:val="left"/>
      </w:pPr>
      <w:r>
        <w:rPr/>
        <w:t xml:space="preserve">(1) The city or county may not require the owner of a lot on which there is an accessory dwelling unit to reside in or occupy the accessory dwelling unit or another housing unit on the same lot;</w:t>
      </w:r>
    </w:p>
    <w:p>
      <w:pPr>
        <w:spacing w:before="0" w:after="0" w:line="408" w:lineRule="exact"/>
        <w:ind w:left="0" w:right="0" w:firstLine="576"/>
        <w:jc w:val="left"/>
      </w:pPr>
      <w:r>
        <w:rPr/>
        <w:t xml:space="preserve">(2) The city or county may require the owner not to use the accessory dwelling unit for short-term rentals;</w:t>
      </w:r>
    </w:p>
    <w:p>
      <w:pPr>
        <w:spacing w:before="0" w:after="0" w:line="408" w:lineRule="exact"/>
        <w:ind w:left="0" w:right="0" w:firstLine="576"/>
        <w:jc w:val="left"/>
      </w:pPr>
      <w:r>
        <w:rPr/>
        <w:t xml:space="preserve">(3) The city or county may not count residents of accessory dwelling units against existing limits on the number of unrelated residents on a lot;</w:t>
      </w:r>
    </w:p>
    <w:p>
      <w:pPr>
        <w:spacing w:before="0" w:after="0" w:line="408" w:lineRule="exact"/>
        <w:ind w:left="0" w:right="0" w:firstLine="576"/>
        <w:jc w:val="left"/>
      </w:pPr>
      <w:r>
        <w:rPr/>
        <w:t xml:space="preserve">(4) The city or county may not establish a minimum gross floor area for accessory dwelling units that exceeds the state building code;</w:t>
      </w:r>
    </w:p>
    <w:p>
      <w:pPr>
        <w:spacing w:before="0" w:after="0" w:line="408" w:lineRule="exact"/>
        <w:ind w:left="0" w:right="0" w:firstLine="576"/>
        <w:jc w:val="left"/>
      </w:pPr>
      <w:r>
        <w:rPr/>
        <w:t xml:space="preserve">(5) The city or county must make the same allowances for accessory dwelling units' roof decks, balconies, and porches to encroach on setbacks as are allowed for the principal unit;</w:t>
      </w:r>
    </w:p>
    <w:p>
      <w:pPr>
        <w:spacing w:before="0" w:after="0" w:line="408" w:lineRule="exact"/>
        <w:ind w:left="0" w:right="0" w:firstLine="576"/>
        <w:jc w:val="left"/>
      </w:pPr>
      <w:r>
        <w:rPr/>
        <w:t xml:space="preserve">(6) The city or county must apply abutting lot setbacks to accessory dwelling units on lots abutting zones with lower setback requirements;</w:t>
      </w:r>
    </w:p>
    <w:p>
      <w:pPr>
        <w:spacing w:before="0" w:after="0" w:line="408" w:lineRule="exact"/>
        <w:ind w:left="0" w:right="0" w:firstLine="576"/>
        <w:jc w:val="left"/>
      </w:pPr>
      <w:r>
        <w:rPr/>
        <w:t xml:space="preserve">(7) The city or county must establish an amnesty program to help owners of unpermitted accessory dwelling units to obtain a permit;</w:t>
      </w:r>
    </w:p>
    <w:p>
      <w:pPr>
        <w:spacing w:before="0" w:after="0" w:line="408" w:lineRule="exact"/>
        <w:ind w:left="0" w:right="0" w:firstLine="576"/>
        <w:jc w:val="left"/>
      </w:pPr>
      <w:r>
        <w:rPr/>
        <w:t xml:space="preserve">(8) The city or county must permit accessory dwelling units in structures detached from the principal unit, must allow an accessory dwelling unit on any lot that meets the minimum lot size required for the principal unit, and must allow attached accessory dwelling units on any lot with a principal unit that is nonconforming solely because the lot is smaller than the minimum size, as long as the accessory dwelling unit would not increase nonconformity of the residential use with respect to building height, bulk, or lot coverage;</w:t>
      </w:r>
    </w:p>
    <w:p>
      <w:pPr>
        <w:spacing w:before="0" w:after="0" w:line="408" w:lineRule="exact"/>
        <w:ind w:left="0" w:right="0" w:firstLine="576"/>
        <w:jc w:val="left"/>
      </w:pPr>
      <w:r>
        <w:rPr/>
        <w:t xml:space="preserve">(9) The city or county may not establish a maximum gross floor area requirement for accessory dwelling units that are less than 1,000 square feet or 60 percent of the principal unit, whichever is greater, or that exceeds 1,200 square feet;</w:t>
      </w:r>
    </w:p>
    <w:p>
      <w:pPr>
        <w:spacing w:before="0" w:after="0" w:line="408" w:lineRule="exact"/>
        <w:ind w:left="0" w:right="0" w:firstLine="576"/>
        <w:jc w:val="left"/>
      </w:pPr>
      <w:r>
        <w:rPr/>
        <w:t xml:space="preserve">(10) A city or county must allow accessory dwelling units to be converted from existing structures, including but not limited to detached garages, even if they violate current code requirements for setbacks or lot coverage;</w:t>
      </w:r>
    </w:p>
    <w:p>
      <w:pPr>
        <w:spacing w:before="0" w:after="0" w:line="408" w:lineRule="exact"/>
        <w:ind w:left="0" w:right="0" w:firstLine="576"/>
        <w:jc w:val="left"/>
      </w:pPr>
      <w:r>
        <w:rPr/>
        <w:t xml:space="preserve">(11) A city or county may not require public street improvements as a condition of permitting accessory dwelling units; and</w:t>
      </w:r>
    </w:p>
    <w:p>
      <w:pPr>
        <w:spacing w:before="0" w:after="0" w:line="408" w:lineRule="exact"/>
        <w:ind w:left="0" w:right="0" w:firstLine="576"/>
        <w:jc w:val="left"/>
      </w:pPr>
      <w:r>
        <w:rPr/>
        <w:t xml:space="preserve">(12) A city or county may require a new or separate utility connection between an accessory dwelling unit and a utility only when necessary to be consistent with water availability requirements, water system plans, small water system management plans, or established policies adopted by the water or sewer utility provider. If such a connection is necessary, the connection fees and capacity charges must:</w:t>
      </w:r>
    </w:p>
    <w:p>
      <w:pPr>
        <w:spacing w:before="0" w:after="0" w:line="408" w:lineRule="exact"/>
        <w:ind w:left="0" w:right="0" w:firstLine="576"/>
        <w:jc w:val="left"/>
      </w:pPr>
      <w:r>
        <w:rPr/>
        <w:t xml:space="preserve">(a) Be proportionate to the burden of the proposed accessory dwelling unit upon the water or sewer system; and</w:t>
      </w:r>
    </w:p>
    <w:p>
      <w:pPr>
        <w:spacing w:before="0" w:after="0" w:line="408" w:lineRule="exact"/>
        <w:ind w:left="0" w:right="0" w:firstLine="576"/>
        <w:jc w:val="left"/>
      </w:pPr>
      <w:r>
        <w:rPr/>
        <w:t xml:space="preserve">(b) Not exceed the reasonable cost of providing the service."</w:t>
      </w:r>
    </w:p>
    <w:p>
      <w:pPr>
        <w:spacing w:before="480" w:after="0" w:line="408" w:lineRule="exact"/>
      </w:pPr>
      <w:r>
        <w:rPr>
          <w:b/>
          <w:u w:val="single"/>
        </w:rPr>
        <w:t xml:space="preserve">E2SHB 1220</w:t>
      </w:r>
      <w:r>
        <w:t xml:space="preserve"> -</w:t>
      </w:r>
      <w:r>
        <w:t xml:space="preserve"> </w:t>
        <w:t xml:space="preserve">S AMD</w:t>
      </w:r>
      <w:r>
        <w:t xml:space="preserve"> </w:t>
      </w:r>
      <w:r>
        <w:rPr>
          <w:b/>
        </w:rPr>
        <w:t xml:space="preserve">675</w:t>
      </w:r>
    </w:p>
    <w:p>
      <w:pPr>
        <w:spacing w:before="0" w:after="0" w:line="408" w:lineRule="exact"/>
        <w:ind w:left="0" w:right="0" w:firstLine="576"/>
        <w:jc w:val="left"/>
      </w:pPr>
      <w:r>
        <w:rPr/>
        <w:t xml:space="preserve">By Senator Kuderer</w:t>
      </w:r>
    </w:p>
    <w:p>
      <w:pPr>
        <w:jc w:val="right"/>
      </w:pPr>
      <w:r>
        <w:rPr>
          <w:b/>
        </w:rPr>
        <w:t xml:space="preserve">ADOPTED 04/10/2021</w:t>
      </w:r>
    </w:p>
    <w:p>
      <w:pPr>
        <w:spacing w:before="0" w:after="0" w:line="408" w:lineRule="exact"/>
        <w:ind w:left="0" w:right="0" w:firstLine="576"/>
        <w:jc w:val="left"/>
      </w:pPr>
      <w:r>
        <w:rPr/>
        <w:t xml:space="preserve">On page 1, line 2 of the title, after "regulations;" strike the remainder of the title and insert "amending RCW 36.70A.020, 36.70A.390, and 36.70A.030; reenacting and amending RCW 36.70A.070; adding a new section to chapter 35A.21 RCW; adding a new section to chapter 35.21 RCW; and adding a new section to chapter 36.70A RCW."</w:t>
      </w:r>
    </w:p>
    <w:p>
      <w:pPr>
        <w:spacing w:before="0" w:after="0" w:line="408" w:lineRule="exact"/>
        <w:ind w:left="0" w:right="0" w:firstLine="576"/>
        <w:jc w:val="left"/>
      </w:pPr>
      <w:r>
        <w:rPr>
          <w:u w:val="single"/>
        </w:rPr>
        <w:t xml:space="preserve">EFFECT:</w:t>
      </w:r>
      <w:r>
        <w:rPr/>
        <w:t xml:space="preserve"> (1) Modifies the new action of the housing element addressing the documentation of programs and actions needed to achieve housing availability to include gaps in local funding only as opposed to both state and local funding.</w:t>
      </w:r>
    </w:p>
    <w:p>
      <w:pPr>
        <w:spacing w:before="0" w:after="0" w:line="408" w:lineRule="exact"/>
        <w:ind w:left="0" w:right="0" w:firstLine="576"/>
        <w:jc w:val="left"/>
      </w:pPr>
      <w:r>
        <w:rPr/>
        <w:t xml:space="preserve">(2) Modifies the new action of the housing element addressing the establishment of antidisplacement policies by prioritizing consideration of the preservation of historical and cultural communities.</w:t>
      </w:r>
    </w:p>
    <w:p>
      <w:pPr>
        <w:spacing w:before="0" w:after="0" w:line="408" w:lineRule="exact"/>
        <w:ind w:left="0" w:right="0" w:firstLine="576"/>
        <w:jc w:val="left"/>
      </w:pPr>
      <w:r>
        <w:rPr/>
        <w:t xml:space="preserve">(3) Replaces the prohibition on cities preventing emergency housing and shelters and permanent supportive housing in certain zones where short-term rentals are allowed, and the requirement that such housing be permitted at the same occupancy levels as short-term rentals in the residential zone, with the following:</w:t>
      </w:r>
    </w:p>
    <w:p>
      <w:pPr>
        <w:spacing w:before="0" w:after="0" w:line="408" w:lineRule="exact"/>
        <w:ind w:left="0" w:right="0" w:firstLine="576"/>
        <w:jc w:val="left"/>
      </w:pPr>
      <w:r>
        <w:rPr/>
        <w:t xml:space="preserve">(a) Prohibits cities from preventing transitional housing or permanent supportive housing in zones where residential dwelling units or hotels are allowed.</w:t>
      </w:r>
    </w:p>
    <w:p>
      <w:pPr>
        <w:spacing w:before="0" w:after="0" w:line="408" w:lineRule="exact"/>
        <w:ind w:left="0" w:right="0" w:firstLine="576"/>
        <w:jc w:val="left"/>
      </w:pPr>
      <w:r>
        <w:rPr/>
        <w:t xml:space="preserve">(b) Prohibits cities, effective September 30, 2021, from preventing indoor emergency shelters and indoor emergency housing in zones where hotels are allowed, excepts for cities that have adopted an ordinance authorizing indoor emergency shelters and housing in a majority of zones within one mile of transit.</w:t>
      </w:r>
    </w:p>
    <w:p>
      <w:pPr>
        <w:spacing w:before="0" w:after="0" w:line="408" w:lineRule="exact"/>
        <w:ind w:left="0" w:right="0" w:firstLine="576"/>
        <w:jc w:val="left"/>
      </w:pPr>
      <w:r>
        <w:rPr/>
        <w:t xml:space="preserve">(c) Authorizes reasonable occupancy, spacing, and intensity of use requirements to be imposed on permanent supportive housing, transitional housing, and indoor emergency housing and shelters to protect public health and safety, but that any such requirements may not prevent the siting of a sufficient number of permanent supportive housing, transitional housing, and indoor emergency housing and shelters necessary to accommodate the projected need as provided by the Department of Commerce under comprehensive plan housing element requirements.</w:t>
      </w:r>
    </w:p>
    <w:p>
      <w:pPr>
        <w:spacing w:before="0" w:after="0" w:line="408" w:lineRule="exact"/>
        <w:ind w:left="0" w:right="0" w:firstLine="576"/>
        <w:jc w:val="left"/>
      </w:pPr>
      <w:r>
        <w:rPr/>
        <w:t xml:space="preserve">(4) Exempts city ordinances or development regulations prohibiting building permit applications for or the construction of transitional housing or permanent supportive housing in any zones in which residential dwelling units or hotels are allowed or prohibiting such applications for or the construction of indoor emergency shelters and housing in any zones in which hotels are allowed from public hearing requirements under the GMA related to adopted moratoria or interim zoning controls.</w:t>
      </w:r>
    </w:p>
    <w:p>
      <w:pPr>
        <w:spacing w:before="0" w:after="0" w:line="408" w:lineRule="exact"/>
        <w:ind w:left="0" w:right="0" w:firstLine="576"/>
        <w:jc w:val="left"/>
      </w:pPr>
      <w:r>
        <w:rPr/>
        <w:t xml:space="preserve">(5) Modifies one of the suggested policies to encourage the construction of ADUs to meet affordable housing goals, specifically authorizing cities and counties to require a new or separate utility connection between the ADU and a utility only when necessary to be consistent with certain water availability requirements and system plans, and requiring any fees associated with a necessary connection to be proportionate and not exceed reasonable costs.</w:t>
      </w:r>
    </w:p>
    <w:p>
      <w:pPr>
        <w:spacing w:before="0" w:after="0" w:line="408" w:lineRule="exact"/>
        <w:ind w:left="0" w:right="0" w:firstLine="576"/>
        <w:jc w:val="left"/>
      </w:pPr>
      <w:r>
        <w:rPr/>
        <w:t xml:space="preserve">(6) Includes provisions from the Ways &amp; Means committee striker to ESHB 1232 addressing the housing element in the comprehensive plan and makes technical and conforming amendments to ensure housing element policies in both the underlying bill and ESHB 1232 do not conflict.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d1dad6215d4258" /></Relationships>
</file>