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1db9d5f2414db9" /></Relationships>
</file>

<file path=word/document.xml><?xml version="1.0" encoding="utf-8"?>
<w:document xmlns:w="http://schemas.openxmlformats.org/wordprocessingml/2006/main">
  <w:body>
    <w:p>
      <w:r>
        <w:rPr>
          <w:b/>
        </w:rPr>
        <w:r>
          <w:rPr/>
          <w:t xml:space="preserve">1175-S.E</w:t>
        </w:r>
      </w:r>
      <w:r>
        <w:rPr>
          <w:b/>
        </w:rPr>
        <w:t xml:space="preserve"> </w:t>
        <w:t xml:space="preserve">AMS</w:t>
      </w:r>
      <w:r>
        <w:rPr>
          <w:b/>
        </w:rPr>
        <w:t xml:space="preserve"> </w:t>
        <w:r>
          <w:rPr/>
          <w:t xml:space="preserve">HASE</w:t>
        </w:r>
      </w:r>
      <w:r>
        <w:rPr>
          <w:b/>
        </w:rPr>
        <w:t xml:space="preserve"> </w:t>
        <w:r>
          <w:rPr/>
          <w:t xml:space="preserve">S5379.1</w:t>
        </w:r>
      </w:r>
      <w:r>
        <w:rPr>
          <w:b/>
        </w:rPr>
        <w:t xml:space="preserve"> - NOT FOR FLOOR USE</w:t>
      </w:r>
    </w:p>
    <w:p>
      <w:pPr>
        <w:ind w:left="0" w:right="0" w:firstLine="576"/>
      </w:pPr>
    </w:p>
    <w:p>
      <w:pPr>
        <w:spacing w:before="480" w:after="0" w:line="408" w:lineRule="exact"/>
      </w:pPr>
      <w:r>
        <w:rPr>
          <w:b/>
          <w:u w:val="single"/>
        </w:rPr>
        <w:t xml:space="preserve">ESHB 1175</w:t>
      </w:r>
      <w:r>
        <w:t xml:space="preserve"> -</w:t>
      </w:r>
      <w:r>
        <w:t xml:space="preserve"> </w:t>
        <w:t xml:space="preserve">S AMD</w:t>
      </w:r>
      <w:r>
        <w:t xml:space="preserve"> </w:t>
      </w:r>
      <w:r>
        <w:rPr>
          <w:b/>
        </w:rPr>
        <w:t xml:space="preserve">1471</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youth who are Black and identify as LGBTQIA+ are most likely to be homeless in King county and across Washington state, where one-third of all homeless youth identify as LGBTQIA+ and one-third identify as Black. The legislature also finds that in addition to being the overwhelming majority of unhoused youth, they are also more likely to experience housing instability and remain most excluded from services, due to structural inequity and underlying race disparities. Further, the legislature finds that when they are offered shelter and housing placements, the placements do not reflect the cultural background or community experience of the young person.</w:t>
      </w:r>
    </w:p>
    <w:p>
      <w:pPr>
        <w:spacing w:before="0" w:after="0" w:line="408" w:lineRule="exact"/>
        <w:ind w:left="0" w:right="0" w:firstLine="576"/>
        <w:jc w:val="left"/>
      </w:pPr>
      <w:r>
        <w:rPr/>
        <w:t xml:space="preserve">The legislature, therefore, finds that providing a tax incentive to private homeowners to host a homeless youth, unaccompanied minor, and systems-impacted young adults will provide safe, transitional placement options to vulnerable young people. Moreover, this will assist in housing retention among communities of color while strengthening youth placement options and in-community housing diversity.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 </w:t>
      </w:r>
      <w:r>
        <w:rPr>
          <w:u w:val="single"/>
        </w:rPr>
        <w:t xml:space="preserve">"Private home" means a single-family dwelling unit whether such unit be separate or part of a multiunit dwelling, including the land on which such dwelling stands not to exceed one acre, except that a private home includes any additional property up to a total of five acres that comprises the residential parcel if this larger parcel size is required under land use regulations.</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Beginning with taxes levied for collection in calendar year 2024, real property is exempt from ad valorem taxation levied for a given year if that property was used as a host home for at least 180 days in the previous calendar year.</w:t>
      </w:r>
    </w:p>
    <w:p>
      <w:pPr>
        <w:spacing w:before="0" w:after="0" w:line="408" w:lineRule="exact"/>
        <w:ind w:left="0" w:right="0" w:firstLine="576"/>
        <w:jc w:val="left"/>
      </w:pPr>
      <w:r>
        <w:rPr/>
        <w:t xml:space="preserve">(b) The exemption provided in (a) of this subsection applies only to the state portion of ad valorem taxation levied under RCW 84.52.065.</w:t>
      </w:r>
    </w:p>
    <w:p>
      <w:pPr>
        <w:spacing w:before="0" w:after="0" w:line="408" w:lineRule="exact"/>
        <w:ind w:left="0" w:right="0" w:firstLine="576"/>
        <w:jc w:val="left"/>
      </w:pPr>
      <w:r>
        <w:rPr/>
        <w:t xml:space="preserve">(2) A claim for exemption under subsection (1) of this section may be made and filed by the owner of the host home at any time during the year for exemption from taxes payable the following year upon forms developed by the department. The department must ensure that information regarding any minor child or other protected information is not required on the application form. The forms must require:</w:t>
      </w:r>
    </w:p>
    <w:p>
      <w:pPr>
        <w:spacing w:before="0" w:after="0" w:line="408" w:lineRule="exact"/>
        <w:ind w:left="0" w:right="0" w:firstLine="576"/>
        <w:jc w:val="left"/>
      </w:pPr>
      <w:r>
        <w:rPr/>
        <w:t xml:space="preserve">(a) An owner to provide sufficient evidence to support their eligibility to receive the exemption, including verification from the host home program that the real property was used as a host home during the year; and</w:t>
      </w:r>
    </w:p>
    <w:p>
      <w:pPr>
        <w:spacing w:before="0" w:after="0" w:line="408" w:lineRule="exact"/>
        <w:ind w:left="0" w:right="0" w:firstLine="576"/>
        <w:jc w:val="left"/>
      </w:pPr>
      <w:r>
        <w:rPr/>
        <w:t xml:space="preserve">(b) An attestation, under penalty of perjury and by the property owner seeking the property tax exemption, that the property was used as a host home for at least 180 days during the calendar year for which they are seeking the property tax exemption and meets the other requirements of this section.</w:t>
      </w:r>
    </w:p>
    <w:p>
      <w:pPr>
        <w:spacing w:before="0" w:after="0" w:line="408" w:lineRule="exact"/>
        <w:ind w:left="0" w:right="0" w:firstLine="576"/>
        <w:jc w:val="left"/>
      </w:pPr>
      <w:r>
        <w:rPr/>
        <w:t xml:space="preserve">(3) The claim for exemption must be submitted to the county assessor no later than December 31st of each year for exemption from taxes payable the following year.</w:t>
      </w:r>
    </w:p>
    <w:p>
      <w:pPr>
        <w:spacing w:before="0" w:after="0" w:line="408" w:lineRule="exact"/>
        <w:ind w:left="0" w:right="0" w:firstLine="576"/>
        <w:jc w:val="left"/>
      </w:pPr>
      <w:r>
        <w:rPr/>
        <w:t xml:space="preserve">(4)(a) The county assessor must evaluate each application for exemption to determine if the application submitted meets the requirements under this section. If the county assessor finds that an application is complete and meets the requirements of this section, the claim for exemption must be approved. If the county assessor finds that an application is incomplete and does not meet the requirements of this section, the claim for exemption must be denied, but the denial is subject to appeal under the provisions of RCW 84.48.010 and 84.40.038. The county assessor must notify the owner of the determination.</w:t>
      </w:r>
    </w:p>
    <w:p>
      <w:pPr>
        <w:spacing w:before="0" w:after="0" w:line="408" w:lineRule="exact"/>
        <w:ind w:left="0" w:right="0" w:firstLine="576"/>
        <w:jc w:val="left"/>
      </w:pPr>
      <w:r>
        <w:rPr/>
        <w:t xml:space="preserve">(b) A claim for exemption approved under (a) of this subsection (4) is valid for one year and provides for the exemption from taxes payable in the year following the year in which the claim was due. An owner must file a new claim as provided in subsection (2) of this section for each year for which that person is eligible for the exemption.</w:t>
      </w:r>
    </w:p>
    <w:p>
      <w:pPr>
        <w:spacing w:before="0" w:after="0" w:line="408" w:lineRule="exact"/>
        <w:ind w:left="0" w:right="0" w:firstLine="576"/>
        <w:jc w:val="left"/>
      </w:pPr>
      <w:r>
        <w:rPr/>
        <w:t xml:space="preserve">(5) The county assessor must accept any late claim for exemption made within three years after the due date of payment of taxes for which an exemption is sought. If the county assessor approves such a claim, the application constitutes a claim for refund under chapter 84.69 RCW.</w:t>
      </w:r>
    </w:p>
    <w:p>
      <w:pPr>
        <w:spacing w:before="0" w:after="0" w:line="408" w:lineRule="exact"/>
        <w:ind w:left="0" w:right="0" w:firstLine="576"/>
        <w:jc w:val="left"/>
      </w:pPr>
      <w:r>
        <w:rPr/>
        <w:t xml:space="preserve">(6) For purposes of this section, "host home" and "host home program" have the same meaning as in RCW 74.15.020.</w:t>
      </w:r>
    </w:p>
    <w:p>
      <w:pPr>
        <w:spacing w:before="0" w:after="0" w:line="408" w:lineRule="exact"/>
        <w:ind w:left="0" w:right="0" w:firstLine="576"/>
        <w:jc w:val="left"/>
      </w:pPr>
      <w:r>
        <w:rPr/>
        <w:t xml:space="preserve">(7) This section expires January 1, 2034.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2017 3rd sp.s. c 13 s 310 are each amended to read as follows:</w:t>
      </w:r>
    </w:p>
    <w:p>
      <w:pPr>
        <w:spacing w:before="0" w:after="0" w:line="408" w:lineRule="exact"/>
        <w:ind w:left="0" w:right="0" w:firstLine="576"/>
        <w:jc w:val="left"/>
      </w:pPr>
      <w:r>
        <w:rPr/>
        <w:t xml:space="preserve">On the order of the county treasurer, ad valorem taxes paid before or after delinquency must be refunded if they were:</w:t>
      </w:r>
    </w:p>
    <w:p>
      <w:pPr>
        <w:spacing w:before="0" w:after="0" w:line="408" w:lineRule="exact"/>
        <w:ind w:left="0" w:right="0" w:firstLine="576"/>
        <w:jc w:val="left"/>
      </w:pPr>
      <w:r>
        <w:rPr/>
        <w:t xml:space="preserve">(1) Paid more than once;</w:t>
      </w:r>
    </w:p>
    <w:p>
      <w:pPr>
        <w:spacing w:before="0" w:after="0" w:line="408" w:lineRule="exact"/>
        <w:ind w:left="0" w:right="0" w:firstLine="576"/>
        <w:jc w:val="left"/>
      </w:pPr>
      <w:r>
        <w:rPr/>
        <w:t xml:space="preserve">(2) Paid as a result of manifest error in description;</w:t>
      </w:r>
    </w:p>
    <w:p>
      <w:pPr>
        <w:spacing w:before="0" w:after="0" w:line="408" w:lineRule="exact"/>
        <w:ind w:left="0" w:right="0" w:firstLine="576"/>
        <w:jc w:val="left"/>
      </w:pPr>
      <w:r>
        <w:rPr/>
        <w:t xml:space="preserve">(3) Paid as a result of a clerical error in extending the tax rolls;</w:t>
      </w:r>
    </w:p>
    <w:p>
      <w:pPr>
        <w:spacing w:before="0" w:after="0" w:line="408" w:lineRule="exact"/>
        <w:ind w:left="0" w:right="0" w:firstLine="576"/>
        <w:jc w:val="left"/>
      </w:pPr>
      <w:r>
        <w:rPr/>
        <w:t xml:space="preserve">(4) Paid as a result of other clerical errors in listing property;</w:t>
      </w:r>
    </w:p>
    <w:p>
      <w:pPr>
        <w:spacing w:before="0" w:after="0" w:line="408" w:lineRule="exact"/>
        <w:ind w:left="0" w:right="0" w:firstLine="576"/>
        <w:jc w:val="left"/>
      </w:pPr>
      <w:r>
        <w:rPr/>
        <w:t xml:space="preserve">(5) Paid with respect to improvements which did not exist on assessment date;</w:t>
      </w:r>
    </w:p>
    <w:p>
      <w:pPr>
        <w:spacing w:before="0" w:after="0" w:line="408" w:lineRule="exact"/>
        <w:ind w:left="0" w:right="0" w:firstLine="576"/>
        <w:jc w:val="left"/>
      </w:pPr>
      <w:r>
        <w:rPr/>
        <w:t xml:space="preserve">(6) Paid under levies or statutes adjudicated to be illegal or unconstitutional;</w:t>
      </w:r>
    </w:p>
    <w:p>
      <w:pPr>
        <w:spacing w:before="0" w:after="0" w:line="408" w:lineRule="exact"/>
        <w:ind w:left="0" w:right="0" w:firstLine="576"/>
        <w:jc w:val="left"/>
      </w:pPr>
      <w:r>
        <w:rPr/>
        <w:t xml:space="preserve">(7)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rPr/>
        <w:t xml:space="preserve">(8)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rPr/>
        <w:t xml:space="preserve">(9) Paid on the basis of an assessed valuation which was appealed to the county board of equalization and ordered reduced by the board;</w:t>
      </w:r>
    </w:p>
    <w:p>
      <w:pPr>
        <w:spacing w:before="0" w:after="0" w:line="408" w:lineRule="exact"/>
        <w:ind w:left="0" w:right="0" w:firstLine="576"/>
        <w:jc w:val="left"/>
      </w:pPr>
      <w:r>
        <w:rPr/>
        <w:t xml:space="preserve">(10) Paid on the basis of an assessed valuation which was appealed to the state board of tax appeals and ordered reduced by the board: PROVIDED, That the amount refunded under subsections (9) and (10) of this section shall only be for the difference between the tax paid on the basis of the appealed valuation and the tax payable on the valuation adjusted in accordance with the board's order;</w:t>
      </w:r>
    </w:p>
    <w:p>
      <w:pPr>
        <w:spacing w:before="0" w:after="0" w:line="408" w:lineRule="exact"/>
        <w:ind w:left="0" w:right="0" w:firstLine="576"/>
        <w:jc w:val="left"/>
      </w:pPr>
      <w:r>
        <w:rPr/>
        <w:t xml:space="preserve">(11) Paid as a state property tax levied upon property, the assessed value of which has been established by the state board of tax appeals for the year of such levy: PROVIDED, HOWEVER, That the amount refunded shall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board;</w:t>
      </w:r>
    </w:p>
    <w:p>
      <w:pPr>
        <w:spacing w:before="0" w:after="0" w:line="408" w:lineRule="exact"/>
        <w:ind w:left="0" w:right="0" w:firstLine="576"/>
        <w:jc w:val="left"/>
      </w:pPr>
      <w:r>
        <w:rPr/>
        <w:t xml:space="preserve">(12) Paid on the basis of an assessed valuation which was adjudicated to be unlawful or excessive: PROVIDED, That the amount refunded shall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rPr/>
        <w:t xml:space="preserve">(13) Paid on property acquired under RCW 84.60.050, and canceled under RCW 84.60.050(2);</w:t>
      </w:r>
    </w:p>
    <w:p>
      <w:pPr>
        <w:spacing w:before="0" w:after="0" w:line="408" w:lineRule="exact"/>
        <w:ind w:left="0" w:right="0" w:firstLine="576"/>
        <w:jc w:val="left"/>
      </w:pPr>
      <w:r>
        <w:rPr/>
        <w:t xml:space="preserve">(14) Paid on the basis of an assessed valuation that was reduced under RCW 84.48.065;</w:t>
      </w:r>
    </w:p>
    <w:p>
      <w:pPr>
        <w:spacing w:before="0" w:after="0" w:line="408" w:lineRule="exact"/>
        <w:ind w:left="0" w:right="0" w:firstLine="576"/>
        <w:jc w:val="left"/>
      </w:pPr>
      <w:r>
        <w:rPr/>
        <w:t xml:space="preserve">(15) Paid on the basis of an assessed valuation that was reduced under RCW 84.40.039; </w:t>
      </w:r>
      <w:r>
        <w:t>((</w:t>
      </w:r>
      <w:r>
        <w:rPr>
          <w:strike/>
        </w:rPr>
        <w:t xml:space="preserve">or</w:t>
      </w:r>
      <w:r>
        <w:t>))</w:t>
      </w:r>
    </w:p>
    <w:p>
      <w:pPr>
        <w:spacing w:before="0" w:after="0" w:line="408" w:lineRule="exact"/>
        <w:ind w:left="0" w:right="0" w:firstLine="576"/>
        <w:jc w:val="left"/>
      </w:pPr>
      <w:r>
        <w:rPr/>
        <w:t xml:space="preserve">(16) Abated under RCW 84.70.010</w:t>
      </w:r>
      <w:r>
        <w:rPr>
          <w:u w:val="single"/>
        </w:rPr>
        <w:t xml:space="preserve">; or</w:t>
      </w:r>
    </w:p>
    <w:p>
      <w:pPr>
        <w:spacing w:before="0" w:after="0" w:line="408" w:lineRule="exact"/>
        <w:ind w:left="0" w:right="0" w:firstLine="576"/>
        <w:jc w:val="left"/>
      </w:pPr>
      <w:r>
        <w:rPr>
          <w:u w:val="single"/>
        </w:rPr>
        <w:t xml:space="preserve">(17) Paid as a result of mistake, inadvertence, or lack of knowledge by any person exempted from paying real property taxes pursuant to section 3 of this act</w:t>
      </w:r>
      <w:r>
        <w:rPr/>
        <w:t xml:space="preserve">.</w:t>
      </w:r>
    </w:p>
    <w:p>
      <w:pPr>
        <w:spacing w:before="0" w:after="0" w:line="408" w:lineRule="exact"/>
        <w:ind w:left="0" w:right="0" w:firstLine="576"/>
        <w:jc w:val="left"/>
      </w:pPr>
      <w:r>
        <w:rPr/>
        <w:t xml:space="preserve">No refunds under the provisions of this section shall be made because of any error in determining the valuation of property, except as authorized in subsections (9), (10), (11), and (12) of this section nor may any refunds be made if a bona fide purchaser has acquired rights that would preclude the assessment and collection of the refunded tax from the property that should properly have been charged with the tax. Any refunds made on delinquent taxes must include the proportionate amount of interest and penalties paid. However, no refunds as a result of an incorrect payment authorized under subsection (8) of this section made by a third party payee shall be granted. The county treasurer may deduct from moneys collected for the benefit of the state's levies, refunds of the state's levies including interest on the levies as provided by this section and chapter 84.68 RCW.</w:t>
      </w:r>
    </w:p>
    <w:p>
      <w:pPr>
        <w:spacing w:before="0" w:after="0" w:line="408" w:lineRule="exact"/>
        <w:ind w:left="0" w:right="0" w:firstLine="576"/>
        <w:jc w:val="left"/>
      </w:pPr>
      <w:r>
        <w:rPr/>
        <w:t xml:space="preserve">The county treasurer of each county must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2022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address youth homelessness and housing instability by encouraging homeowners to participate in a host home program.</w:t>
      </w:r>
    </w:p>
    <w:p>
      <w:pPr>
        <w:spacing w:before="0" w:after="0" w:line="408" w:lineRule="exact"/>
        <w:ind w:left="0" w:right="0" w:firstLine="576"/>
        <w:jc w:val="left"/>
      </w:pPr>
      <w:r>
        <w:rPr/>
        <w:t xml:space="preserve">(4) If a review finds that the goals of this tax preference as described in section 1 of this act have been met or surpassed, and the statewide amount of host homes providing safe shelter for homeless youth has increased,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expire January 1, 2034."</w:t>
      </w:r>
    </w:p>
    <w:p>
      <w:pPr>
        <w:spacing w:before="480" w:after="0" w:line="408" w:lineRule="exact"/>
      </w:pPr>
      <w:r>
        <w:rPr>
          <w:b/>
          <w:u w:val="single"/>
        </w:rPr>
        <w:t xml:space="preserve">ESHB 1175</w:t>
      </w:r>
      <w:r>
        <w:t xml:space="preserve"> -</w:t>
      </w:r>
      <w:r>
        <w:t xml:space="preserve"> </w:t>
        <w:t xml:space="preserve">S AMD</w:t>
      </w:r>
      <w:r>
        <w:t xml:space="preserve"> </w:t>
      </w:r>
      <w:r>
        <w:rPr>
          <w:b/>
        </w:rPr>
        <w:t xml:space="preserve">1471</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line 2 of the title, after "program;" strike the remainder of the title and insert "amending RCW 74.15.020 and 84.69.020; adding a new section to chapter 84.36 RCW; creating new sections; providing an effective date; and providing expiration dates."</w:t>
      </w:r>
    </w:p>
    <w:p>
      <w:pPr>
        <w:spacing w:before="0" w:after="0" w:line="408" w:lineRule="exact"/>
        <w:ind w:left="0" w:right="0" w:firstLine="576"/>
        <w:jc w:val="left"/>
      </w:pPr>
      <w:r>
        <w:rPr>
          <w:u w:val="single"/>
        </w:rPr>
        <w:t xml:space="preserve">EFFECT:</w:t>
      </w:r>
      <w:r>
        <w:rPr/>
        <w:t xml:space="preserve"> (1) Aligns the definition of a private home with "residence" as used in property tax statutes; thereby clarifying how the exemption applies to the tax parcel.</w:t>
      </w:r>
    </w:p>
    <w:p>
      <w:pPr>
        <w:spacing w:before="0" w:after="0" w:line="408" w:lineRule="exact"/>
        <w:ind w:left="0" w:right="0" w:firstLine="576"/>
        <w:jc w:val="left"/>
      </w:pPr>
      <w:r>
        <w:rPr/>
        <w:t xml:space="preserve">(2) States that application forms must not require the disclosure of information regarding minor children or any other protected information; requires application forms to include an attestation, under penalty of perjury, that the property was used as a host home for at least 180 days during the calendar year for which the applicant is seeking the property tax exemption and meets all other requirements; clarifies that the county assessor is responsible for reviewing applications completeness; and makes other technical changes.</w:t>
      </w:r>
    </w:p>
    <w:p>
      <w:pPr>
        <w:spacing w:before="0" w:after="0" w:line="408" w:lineRule="exact"/>
        <w:ind w:left="0" w:right="0" w:firstLine="576"/>
        <w:jc w:val="left"/>
      </w:pPr>
      <w:r>
        <w:rPr/>
        <w:t xml:space="preserve">(3) Removes the section exempting the act from tax preference performance review and automatic expiration. Includes expiration dates and provides a tax preference performance statement.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03a91b7b1c43cf" /></Relationships>
</file>