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67887b2d974b89" /></Relationships>
</file>

<file path=word/document.xml><?xml version="1.0" encoding="utf-8"?>
<w:document xmlns:w="http://schemas.openxmlformats.org/wordprocessingml/2006/main">
  <w:body>
    <w:p>
      <w:r>
        <w:rPr>
          <w:b/>
        </w:rPr>
        <w:r>
          <w:rPr/>
          <w:t xml:space="preserve">1168-S2</w:t>
        </w:r>
      </w:r>
      <w:r>
        <w:rPr>
          <w:b/>
        </w:rPr>
        <w:t xml:space="preserve"> </w:t>
        <w:t xml:space="preserve">AMS</w:t>
      </w:r>
      <w:r>
        <w:rPr>
          <w:b/>
        </w:rPr>
        <w:t xml:space="preserve"> </w:t>
        <w:r>
          <w:rPr/>
          <w:t xml:space="preserve">VAND</w:t>
        </w:r>
      </w:r>
      <w:r>
        <w:rPr>
          <w:b/>
        </w:rPr>
        <w:t xml:space="preserve"> </w:t>
        <w:r>
          <w:rPr/>
          <w:t xml:space="preserve">S2759.1</w:t>
        </w:r>
      </w:r>
      <w:r>
        <w:rPr>
          <w:b/>
        </w:rPr>
        <w:t xml:space="preserve"> - NOT FOR FLOOR USE</w:t>
      </w:r>
    </w:p>
    <w:p>
      <w:pPr>
        <w:ind w:left="0" w:right="0" w:firstLine="576"/>
      </w:pPr>
    </w:p>
    <w:p>
      <w:pPr>
        <w:spacing w:before="480" w:after="0" w:line="408" w:lineRule="exact"/>
      </w:pPr>
      <w:r>
        <w:rPr>
          <w:b/>
          <w:u w:val="single"/>
        </w:rPr>
        <w:t xml:space="preserve">2SHB 1168</w:t>
      </w:r>
      <w:r>
        <w:t xml:space="preserve"> -</w:t>
      </w:r>
      <w:r>
        <w:t xml:space="preserve"> </w:t>
        <w:t xml:space="preserve">S AMD TO WM COMM AMD (S-2613.1/21)</w:t>
      </w:r>
      <w:r>
        <w:t xml:space="preserve"> </w:t>
      </w:r>
      <w:r>
        <w:rPr>
          <w:b/>
        </w:rPr>
        <w:t xml:space="preserve">727</w:t>
      </w:r>
    </w:p>
    <w:p>
      <w:pPr>
        <w:spacing w:before="0" w:after="0" w:line="408" w:lineRule="exact"/>
        <w:ind w:left="0" w:right="0" w:firstLine="576"/>
        <w:jc w:val="left"/>
      </w:pPr>
      <w:r>
        <w:rPr/>
        <w:t xml:space="preserve">By Senator Van De Wege</w:t>
      </w:r>
    </w:p>
    <w:p>
      <w:pPr>
        <w:jc w:val="right"/>
      </w:pPr>
      <w:r>
        <w:rPr>
          <w:b/>
        </w:rPr>
        <w:t xml:space="preserve">ADOPTED 04/09/2021</w:t>
      </w:r>
    </w:p>
    <w:p>
      <w:pPr>
        <w:spacing w:before="0" w:after="0" w:line="408" w:lineRule="exact"/>
        <w:ind w:left="0" w:right="0" w:firstLine="576"/>
        <w:jc w:val="left"/>
      </w:pPr>
      <w:r>
        <w:rPr/>
        <w:t xml:space="preserve">On page 9, after line 32, insert the following:</w:t>
      </w:r>
    </w:p>
    <w:p>
      <w:pPr>
        <w:spacing w:before="0" w:after="0" w:line="408" w:lineRule="exact"/>
        <w:ind w:left="0" w:right="0" w:firstLine="576"/>
        <w:jc w:val="left"/>
      </w:pPr>
      <w:r>
        <w:rPr/>
        <w:t xml:space="preserve">"(4)(a)(i) Prior to the determination of the 2025-2034 sustainable harvest calculation as required by RCW 79.10.320, the department must hire an independent third-party contractor to assist it in updating its forest inventory by increasing the intensity of forest sample plots on all forestlands over the next two biennium. The department's sustainable harvest calculation technical advisory committee must be involved in the design, development, and implementation of this forest inventory update.</w:t>
      </w:r>
    </w:p>
    <w:p>
      <w:pPr>
        <w:spacing w:before="0" w:after="0" w:line="408" w:lineRule="exact"/>
        <w:ind w:left="0" w:right="0" w:firstLine="576"/>
        <w:jc w:val="left"/>
      </w:pPr>
      <w:r>
        <w:rPr/>
        <w:t xml:space="preserve">(ii) For purposes of this subsection, "forest inventory" means the collection of sample data to estimate a range of forest attributes including, but not limited to, standing volume, stored carbon, habitat attributes, age classes, tree species, and other inventory attributes, including information needed to estimate rates of tree growth and associated carbon sequestration on department lands.</w:t>
      </w:r>
    </w:p>
    <w:p>
      <w:pPr>
        <w:spacing w:before="0" w:after="0" w:line="408" w:lineRule="exact"/>
        <w:ind w:left="0" w:right="0" w:firstLine="576"/>
        <w:jc w:val="left"/>
      </w:pPr>
      <w:r>
        <w:rPr/>
        <w:t xml:space="preserve">(iii) The department's sustainable harvest calculation technical advisory committee must bring forward recommendations for regular maintenance and updates to the forest inventory on a ten-year basis.</w:t>
      </w:r>
    </w:p>
    <w:p>
      <w:pPr>
        <w:spacing w:before="0" w:after="0" w:line="408" w:lineRule="exact"/>
        <w:ind w:left="0" w:right="0" w:firstLine="576"/>
        <w:jc w:val="left"/>
      </w:pPr>
      <w:r>
        <w:rPr/>
        <w:t xml:space="preserve">(b) Prior to the determination of the 2025-2034 sustainable harvest calculation as required by RCW 79.10.320, the department must hire a third-party contractor to review, analyze, and advise the department's forest growth and yield modeling, specific to all types of forested acres managed by the department. The department's sustainable harvest calculation technical advisory committee must be involved in the design, review, and analysis of the department's forest growth and yield modeling.</w:t>
      </w:r>
    </w:p>
    <w:p>
      <w:pPr>
        <w:spacing w:before="0" w:after="0" w:line="408" w:lineRule="exact"/>
        <w:ind w:left="0" w:right="0" w:firstLine="576"/>
        <w:jc w:val="left"/>
      </w:pPr>
      <w:r>
        <w:rPr/>
        <w:t xml:space="preserve">(c) Prior to the determination of the 2025-2034 sustainable harvest calculation as required by RCW 79.10.320 and in the absence of any litigation, pending or in progress, against the department's sustainable harvest calculation, the joint legislative audit and review committee established in chapter 44.28 RCW must oversee and conduct an independent review of the methodologies and data being utilized by the department in the development of the sustainable harvest calculation, including the associated forest inventory, forest growth, harvest and yield data, and modeling techniques that impact harvest levels. In carrying out the review, the joint legislative audit and review committee shall:</w:t>
      </w:r>
    </w:p>
    <w:p>
      <w:pPr>
        <w:spacing w:before="0" w:after="0" w:line="408" w:lineRule="exact"/>
        <w:ind w:left="0" w:right="0" w:firstLine="576"/>
        <w:jc w:val="left"/>
      </w:pPr>
      <w:r>
        <w:rPr/>
        <w:t xml:space="preserve">(i) Retain one or more contractors with expertise in forest inventories, forest growth and yield modeling, and operational research modeling in forest harvest scheduling to conduct the technical review;</w:t>
      </w:r>
    </w:p>
    <w:p>
      <w:pPr>
        <w:spacing w:before="0" w:after="0" w:line="408" w:lineRule="exact"/>
        <w:ind w:left="0" w:right="0" w:firstLine="576"/>
        <w:jc w:val="left"/>
      </w:pPr>
      <w:r>
        <w:rPr/>
        <w:t xml:space="preserve">(ii) Be a member of department's sustainable harvest calculation technical advisory committee, along with one of its contractors selected in (c)(i) of this subsection; and</w:t>
      </w:r>
    </w:p>
    <w:p>
      <w:pPr>
        <w:spacing w:before="0" w:after="0" w:line="408" w:lineRule="exact"/>
        <w:ind w:left="0" w:right="0" w:firstLine="576"/>
        <w:jc w:val="left"/>
      </w:pPr>
      <w:r>
        <w:rPr/>
        <w:t xml:space="preserve">(iii) Prior to the department's determination of the sustainable harvest under RCW 79.10.320, ensure that a completed independent review and report with findings and recommendations is submitted to the board of natural resources and the legislature.</w:t>
      </w:r>
    </w:p>
    <w:p>
      <w:pPr>
        <w:spacing w:before="0" w:after="0" w:line="408" w:lineRule="exact"/>
        <w:ind w:left="0" w:right="0" w:firstLine="576"/>
        <w:jc w:val="left"/>
      </w:pPr>
      <w:r>
        <w:rPr/>
        <w:t xml:space="preserve">(d) Upon receiving the report from the joint legislative audit and review committee required under (c)(iii) of this subsection, the board of natural resources shall determine whether modifications are necessary to the sustainable harvest calculation prior to approving harvest level under RCW 79.10.320."</w:t>
      </w:r>
    </w:p>
    <w:p>
      <w:pPr>
        <w:spacing w:before="0" w:after="0" w:line="408" w:lineRule="exact"/>
        <w:ind w:left="0" w:right="0" w:firstLine="576"/>
        <w:jc w:val="left"/>
      </w:pPr>
      <w:r>
        <w:rPr>
          <w:u w:val="single"/>
        </w:rPr>
        <w:t xml:space="preserve">EFFECT:</w:t>
      </w:r>
      <w:r>
        <w:rPr/>
        <w:t xml:space="preserve"> Directs the Department of Natural Resources (DNR) to hire an independent third-party contractor to assist in updating its forest inventory, forest growth, and yield modeling prior to the determination of the 2025-2034 sustainable harvest calculation. Requires the Joint Legislative Audit and Review Committee to conduct an independent review of the methodologies and data used by the DNR in the development of the sustainable harvest calculation. Requires a completed independent review with finding and recommendations be submitted to the Board of Natural Resources and the Legislature prior to the determination of the sustainable harvest calculation.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e0f01b3c744ec" /></Relationships>
</file>