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2e8cf7a3472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1120-S.E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S2746.1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1120</w:t>
      </w:r>
      <w:r>
        <w:t xml:space="preserve"> -</w:t>
      </w:r>
      <w:r>
        <w:t xml:space="preserve"> </w:t>
        <w:t xml:space="preserve">S AMD TO HLTC COMM AMD (S-2090.1/21)</w:t>
      </w:r>
      <w:r>
        <w:t xml:space="preserve"> </w:t>
      </w:r>
      <w:r>
        <w:rPr>
          <w:b/>
        </w:rPr>
        <w:t xml:space="preserve">722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04/19/2021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20, after "(b)" strike "(i) ((</w:t>
      </w:r>
      <w:r>
        <w:rPr>
          <w:strike/>
        </w:rPr>
        <w:t xml:space="preserve">Except</w:t>
      </w:r>
      <w:r>
        <w:rPr/>
        <w:t xml:space="preserve">" and insert "((</w:t>
      </w:r>
      <w:r>
        <w:rPr>
          <w:strike/>
        </w:rPr>
        <w:t xml:space="preserve">(i) Except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31, strike all material through "</w:t>
      </w:r>
      <w:r>
        <w:rPr>
          <w:u w:val="single"/>
        </w:rPr>
        <w:t xml:space="preserve">department.</w:t>
      </w:r>
      <w:r>
        <w:rPr/>
        <w:t xml:space="preserve">" on line 36 and insert "((</w:t>
      </w:r>
      <w:r>
        <w:rPr>
          <w:strike/>
        </w:rPr>
        <w:t xml:space="preserve">(ii) This subsection does not apply to long-term care workers employed by community residential service businesses until January 1, 2016.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requirement that a long-term care worker must pass both state and federal background checks before working and having unsupervised access.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807465cf4fba" /></Relationships>
</file>