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9aedf5edbf483d" /></Relationships>
</file>

<file path=word/document.xml><?xml version="1.0" encoding="utf-8"?>
<w:document xmlns:w="http://schemas.openxmlformats.org/wordprocessingml/2006/main">
  <w:body>
    <w:p>
      <w:r>
        <w:rPr>
          <w:b/>
        </w:rPr>
        <w:r>
          <w:rPr/>
          <w:t xml:space="preserve">1099-S2.E</w:t>
        </w:r>
      </w:r>
      <w:r>
        <w:rPr>
          <w:b/>
        </w:rPr>
        <w:t xml:space="preserve"> </w:t>
        <w:t xml:space="preserve">AMS</w:t>
      </w:r>
      <w:r>
        <w:rPr>
          <w:b/>
        </w:rPr>
        <w:t xml:space="preserve"> </w:t>
        <w:r>
          <w:rPr/>
          <w:t xml:space="preserve">HLG</w:t>
        </w:r>
      </w:r>
      <w:r>
        <w:rPr>
          <w:b/>
        </w:rPr>
        <w:t xml:space="preserve"> </w:t>
        <w:r>
          <w:rPr/>
          <w:t xml:space="preserve">S4702.1</w:t>
        </w:r>
      </w:r>
      <w:r>
        <w:rPr>
          <w:b/>
        </w:rPr>
        <w:t xml:space="preserve"> - NOT FOR FLOOR USE</w:t>
      </w:r>
    </w:p>
    <w:p>
      <w:pPr>
        <w:ind w:left="0" w:right="0" w:firstLine="576"/>
      </w:pPr>
      <w:r>
        <w:rPr/>
        <w:t xml:space="preserve"> </w:t>
      </w:r>
    </w:p>
    <w:p>
      <w:pPr>
        <w:spacing w:before="480" w:after="0" w:line="408" w:lineRule="exact"/>
      </w:pPr>
      <w:r>
        <w:rPr>
          <w:b/>
          <w:u w:val="single"/>
        </w:rPr>
        <w:t xml:space="preserve">E2SHB 1099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OUT OF ORDER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help achieve statewide targets for the reduction of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Ensure that comprehensive plans, development regulations, and regional policies, plans, and strategies under RCW 36.70A.210 and chapter 47.80 RCW adapt to and mitigate the effects of a changing climate, support state greenhouse gas emissions reduction requirements and state per capita vehicle miles traveled goals, prepare for climate impact scenarios, foster resiliency to climate impacts and natural hazards, protect and enhance environmental, economic, and human health and safety, and advance environmental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36.70A.070(9) apply only to those counties that are required or that choose to plan under RCW 36.70A.040 and that also meet either of the criteria set forth in (a) or (b) of this subsection (1)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density of at least 100 people per square mile and a population of at least 200,000; or </w:t>
      </w:r>
    </w:p>
    <w:p>
      <w:pPr>
        <w:spacing w:before="0" w:after="0" w:line="408" w:lineRule="exact"/>
        <w:ind w:left="0" w:right="0" w:firstLine="576"/>
        <w:jc w:val="left"/>
      </w:pPr>
      <w:r>
        <w:rPr/>
        <w:t xml:space="preserve">(b) A county with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The requirements of the amendments to the rural element of RCW 36.70A.070 set forth in this act apply only to counties that are required or that choose to plan under RCW 36.70A.040 and that have a population of 20,000 or greater as of April 1, 2021.</w:t>
      </w:r>
    </w:p>
    <w:p>
      <w:pPr>
        <w:spacing w:before="0" w:after="0" w:line="408" w:lineRule="exact"/>
        <w:ind w:left="0" w:right="0" w:firstLine="576"/>
        <w:jc w:val="left"/>
      </w:pPr>
      <w:r>
        <w:rPr/>
        <w:t xml:space="preserve">(5)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(6)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(7) The population criteria used in this section must be based on population data as determined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greenspaces</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including, but not limited to, reducing residential development pressure in the wildland urban interface area, creating open space buffers between human development and wildfire-prone landscapes, and protecting existing residential development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w:t>
      </w:r>
      <w:r>
        <w:rPr>
          <w:u w:val="single"/>
        </w:rPr>
        <w:t xml:space="preserve">components of drinking water, stormwater, wastewater,</w:t>
      </w:r>
      <w:r>
        <w:rPr/>
        <w:t xml:space="preserve"> electrical </w:t>
      </w:r>
      <w:r>
        <w:t>((</w:t>
      </w:r>
      <w:r>
        <w:rPr>
          <w:strike/>
        </w:rPr>
        <w:t xml:space="preserve">lines</w:t>
      </w:r>
      <w:r>
        <w:t>))</w:t>
      </w:r>
      <w:r>
        <w:rPr/>
        <w:t xml:space="preserve">, telecommunication</w:t>
      </w:r>
      <w:r>
        <w:rPr>
          <w:u w:val="single"/>
        </w:rPr>
        <w:t xml:space="preserve">s</w:t>
      </w:r>
      <w:r>
        <w:rPr/>
        <w:t xml:space="preserve"> </w:t>
      </w:r>
      <w:r>
        <w:t>((</w:t>
      </w:r>
      <w:r>
        <w:rPr>
          <w:strike/>
        </w:rPr>
        <w:t xml:space="preserve">lines</w:t>
      </w:r>
      <w:r>
        <w:t>))</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w:t>
      </w:r>
      <w:r>
        <w:t>((</w:t>
      </w:r>
      <w:r>
        <w:rPr>
          <w:strike/>
        </w:rPr>
        <w:t xml:space="preserve">and</w:t>
      </w:r>
      <w:r>
        <w:t>))</w:t>
      </w:r>
    </w:p>
    <w:p>
      <w:pPr>
        <w:spacing w:before="0" w:after="0" w:line="408" w:lineRule="exact"/>
        <w:ind w:left="0" w:right="0" w:firstLine="576"/>
        <w:jc w:val="left"/>
      </w:pPr>
      <w:r>
        <w:rPr/>
        <w:t xml:space="preserve">(v) Protecting against conflicts with the use of agricultural, forest, and mineral resource lands designated under RCW 36.70A.170</w:t>
      </w:r>
      <w:r>
        <w:rPr>
          <w:u w:val="single"/>
        </w:rPr>
        <w:t xml:space="preserve">; and</w:t>
      </w:r>
    </w:p>
    <w:p>
      <w:pPr>
        <w:spacing w:before="0" w:after="0" w:line="408" w:lineRule="exact"/>
        <w:ind w:left="0" w:right="0" w:firstLine="576"/>
        <w:jc w:val="left"/>
      </w:pPr>
      <w:r>
        <w:rPr>
          <w:u w:val="single"/>
        </w:rPr>
        <w:t xml:space="preserve">(vi) Protecting existing natural areas, including native forests, grasslands, and riparian areas. As used in this subsection, the term "natural areas" excludes parcels enrolled as forestlands under RCW 84.33.035 or timberland under RCW 84.34.020. Nothing in this subsection alters the designation or protection of critical areas designated under RCW 36.70A.170 or the applicability of local regulations adopted pursuant to RCW 76.09.240</w:t>
      </w:r>
      <w:r>
        <w:rPr/>
        <w:t xml:space="preserve">.</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traffic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local goals, and strive to equitably implement the multimodal network</w:t>
      </w:r>
      <w:r>
        <w:rPr/>
        <w:t xml:space="preserve">;</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rPr>
          <w:u w:val="single"/>
        </w:rPr>
        <w:t xml:space="preserve">active transportation facility improvements,</w:t>
      </w:r>
      <w:r>
        <w:rPr/>
        <w:t xml:space="preserve"> increased </w:t>
      </w:r>
      <w:r>
        <w:rPr>
          <w:u w:val="single"/>
        </w:rPr>
        <w:t xml:space="preserve">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If it is possible to provide for the transportation needs of a development through active transportation facility improvements, increased or enhanced public transportation service, ride-sharing programs, demand management, or other transportation systems management strategies funded by the development, a development approval may not be denied because it fails to meet traffic level of service standards.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w:t>
      </w:r>
      <w:r>
        <w:rPr>
          <w:u w:val="single"/>
        </w:rPr>
        <w:t xml:space="preserve">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 The greenhouse gas emissions reduction subelement of the climate change and resiliency element is mandatory for the jurisdictions specified in section 3(1)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(a)(i)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in overburdened communities in order to maximize the cobenefits of reduced air pollution and environmental justice consistent with chapter 70A.02 RCW.</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to be consistent with those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 consistent with the reduction requirements set forth in RCW 70A.45.020</w:t>
      </w:r>
      <w:r>
        <w:rPr>
          <w:u w:val="single"/>
        </w:rPr>
        <w:t xml:space="preserve">.</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(9)(a).</w:t>
      </w:r>
    </w:p>
    <w:p>
      <w:pPr>
        <w:spacing w:before="0" w:after="0" w:line="408" w:lineRule="exact"/>
        <w:ind w:left="0" w:right="0" w:firstLine="576"/>
        <w:jc w:val="left"/>
      </w:pPr>
      <w:r>
        <w:rPr>
          <w:u w:val="single"/>
        </w:rPr>
        <w:t xml:space="preserve">(iv)(A) Until December 31, 2034, actions not specifically identified in the guidelines developed by the department pursuant to section 5 of this act, or considered to be consistent with those guidelines according to the process established in (a)(ii) of this subsection (9), must still be considered to be sufficient to meet the requirements of the greenhouse gas emissions reduction subelement, and must be approved by the department pursuant to section 6 of this act, if the actions provide for the authorization of the development of middle housing types within urban growth areas.</w:t>
      </w:r>
    </w:p>
    <w:p>
      <w:pPr>
        <w:spacing w:before="0" w:after="0" w:line="408" w:lineRule="exact"/>
        <w:ind w:left="0" w:right="0" w:firstLine="576"/>
        <w:jc w:val="left"/>
      </w:pPr>
      <w:r>
        <w:rPr>
          <w:u w:val="single"/>
        </w:rPr>
        <w:t xml:space="preserve">(B) Nothing in this subsection (9)(a)(iv) prohibits the authorization of the development of single-family residences.</w:t>
      </w:r>
    </w:p>
    <w:p>
      <w:pPr>
        <w:spacing w:before="0" w:after="0" w:line="408" w:lineRule="exact"/>
        <w:ind w:left="0" w:right="0" w:firstLine="576"/>
        <w:jc w:val="left"/>
      </w:pPr>
      <w:r>
        <w:rPr>
          <w:u w:val="single"/>
        </w:rPr>
        <w:t xml:space="preserve">(C) For the purposes of this subsection (9)(a)(iv), "middle housing types" means accessory dwelling units and at least one of the following housing types: Duplexes; triplexes; or quadplexes, in all zoning districts within an urban growth area that permit detached single-family residences.</w:t>
      </w:r>
    </w:p>
    <w:p>
      <w:pPr>
        <w:spacing w:before="0" w:after="0" w:line="408" w:lineRule="exact"/>
        <w:ind w:left="0" w:right="0" w:firstLine="576"/>
        <w:jc w:val="left"/>
      </w:pPr>
      <w:r>
        <w:rPr>
          <w:u w:val="single"/>
        </w:rPr>
        <w:t xml:space="preserve">(D) For the purposes of this subsection (9)(a)(iv), an action must be deemed to provide for the authorization of the development of middle housing types, if the action:</w:t>
      </w:r>
    </w:p>
    <w:p>
      <w:pPr>
        <w:spacing w:before="0" w:after="0" w:line="408" w:lineRule="exact"/>
        <w:ind w:left="0" w:right="0" w:firstLine="576"/>
        <w:jc w:val="left"/>
      </w:pPr>
      <w:r>
        <w:rPr>
          <w:u w:val="single"/>
        </w:rPr>
        <w:t xml:space="preserve">(I) Authorizes middle housing types on a lot or parcel under the same administrative process as a detached single-family residence in the same zoning district;</w:t>
      </w:r>
    </w:p>
    <w:p>
      <w:pPr>
        <w:spacing w:before="0" w:after="0" w:line="408" w:lineRule="exact"/>
        <w:ind w:left="0" w:right="0" w:firstLine="576"/>
        <w:jc w:val="left"/>
      </w:pPr>
      <w:r>
        <w:rPr>
          <w:u w:val="single"/>
        </w:rPr>
        <w:t xml:space="preserve">(II) Establishes lot or parcel sizes that are sufficient to allow for the construction of middle housing types;</w:t>
      </w:r>
    </w:p>
    <w:p>
      <w:pPr>
        <w:spacing w:before="0" w:after="0" w:line="408" w:lineRule="exact"/>
        <w:ind w:left="0" w:right="0" w:firstLine="576"/>
        <w:jc w:val="left"/>
      </w:pPr>
      <w:r>
        <w:rPr>
          <w:u w:val="single"/>
        </w:rPr>
        <w:t xml:space="preserve">(III) Establishes maximum density requirements that allow the development of middle housing types on each lot or parcel that allow for single-family residences;</w:t>
      </w:r>
    </w:p>
    <w:p>
      <w:pPr>
        <w:spacing w:before="0" w:after="0" w:line="408" w:lineRule="exact"/>
        <w:ind w:left="0" w:right="0" w:firstLine="576"/>
        <w:jc w:val="left"/>
      </w:pPr>
      <w:r>
        <w:rPr>
          <w:u w:val="single"/>
        </w:rPr>
        <w:t xml:space="preserve">(IV) Establishes applicable siting or design standards that do not individually or cumulatively cause unreasonable costs, fees, or delays to the development of middle housing types; and</w:t>
      </w:r>
    </w:p>
    <w:p>
      <w:pPr>
        <w:spacing w:before="0" w:after="0" w:line="408" w:lineRule="exact"/>
        <w:ind w:left="0" w:right="0" w:firstLine="576"/>
        <w:jc w:val="left"/>
      </w:pPr>
      <w:r>
        <w:rPr>
          <w:u w:val="single"/>
        </w:rPr>
        <w:t xml:space="preserve">(V) Either does not establish parking regulations for middle housing types, or, if the action does establish parking regulations for middle housing types, the action:</w:t>
      </w:r>
    </w:p>
    <w:p>
      <w:pPr>
        <w:spacing w:before="0" w:after="0" w:line="408" w:lineRule="exact"/>
        <w:ind w:left="0" w:right="0" w:firstLine="576"/>
        <w:jc w:val="left"/>
      </w:pPr>
      <w:r>
        <w:rPr>
          <w:u w:val="single"/>
        </w:rPr>
        <w:t xml:space="preserve">(1) Does not require off-street parking spaces for lots or parcels with an accessory dwelling unit or a duplex, or for lots or parcels that are less than 3,000 square feet;</w:t>
      </w:r>
    </w:p>
    <w:p>
      <w:pPr>
        <w:spacing w:before="0" w:after="0" w:line="408" w:lineRule="exact"/>
        <w:ind w:left="0" w:right="0" w:firstLine="576"/>
        <w:jc w:val="left"/>
      </w:pPr>
      <w:r>
        <w:rPr>
          <w:u w:val="single"/>
        </w:rPr>
        <w:t xml:space="preserve">(2) Does not require more than one off-street parking space for lots or parcels that are greater than or equal to 3,000 square feet but are less than 6,000 square feet;</w:t>
      </w:r>
    </w:p>
    <w:p>
      <w:pPr>
        <w:spacing w:before="0" w:after="0" w:line="408" w:lineRule="exact"/>
        <w:ind w:left="0" w:right="0" w:firstLine="576"/>
        <w:jc w:val="left"/>
      </w:pPr>
      <w:r>
        <w:rPr>
          <w:u w:val="single"/>
        </w:rPr>
        <w:t xml:space="preserve">(3) Does not require more than 0.5 off-street parking spaces for each dwelling unit for lots or parcels greater than or equal to 6,000 square feet;</w:t>
      </w:r>
    </w:p>
    <w:p>
      <w:pPr>
        <w:spacing w:before="0" w:after="0" w:line="408" w:lineRule="exact"/>
        <w:ind w:left="0" w:right="0" w:firstLine="576"/>
        <w:jc w:val="left"/>
      </w:pPr>
      <w:r>
        <w:rPr>
          <w:u w:val="single"/>
        </w:rPr>
        <w:t xml:space="preserve">(4) May allow on-street parking credits to satisfy off-street parking requirements;</w:t>
      </w:r>
    </w:p>
    <w:p>
      <w:pPr>
        <w:spacing w:before="0" w:after="0" w:line="408" w:lineRule="exact"/>
        <w:ind w:left="0" w:right="0" w:firstLine="576"/>
        <w:jc w:val="left"/>
      </w:pPr>
      <w:r>
        <w:rPr>
          <w:u w:val="single"/>
        </w:rPr>
        <w:t xml:space="preserve">(5) Allows, but does not require, off-street parking to be provided as a garage or carport; and</w:t>
      </w:r>
    </w:p>
    <w:p>
      <w:pPr>
        <w:spacing w:before="0" w:after="0" w:line="408" w:lineRule="exact"/>
        <w:ind w:left="0" w:right="0" w:firstLine="576"/>
        <w:jc w:val="left"/>
      </w:pPr>
      <w:r>
        <w:rPr>
          <w:u w:val="single"/>
        </w:rPr>
        <w:t xml:space="preserve">(6) Applies the same off-street parking surfacing, dimensional, landscaping, access, and circulation standards that apply to single-family residences in the same zoning district.</w:t>
      </w:r>
    </w:p>
    <w:p>
      <w:pPr>
        <w:spacing w:before="0" w:after="0" w:line="408" w:lineRule="exact"/>
        <w:ind w:left="0" w:right="0" w:firstLine="576"/>
        <w:jc w:val="left"/>
      </w:pPr>
      <w:r>
        <w:rPr>
          <w:u w:val="single"/>
        </w:rPr>
        <w:t xml:space="preserve">(b)(i)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in overburdened communities as defined in chapter 70A.02 RCW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in overburdened communities as defined in RCW 70A.02.010, and that complies with the applicable requirements of this chapter, including the requirements set forth in this subsection (9)(b), may be adopted by reference to satisfy these requirements, except that to the extent any of the substantive requirements of this subsection (9)(b)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(9)(b).</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(9)(b), and the most recently adopted federal emergency management agency natural hazard mitigation plan does not comply with the requirements of this subsection (9)(b),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36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No later than 36 months from the date provided in RCW 36.70A.130, the city or county must adopt a natural hazard mitigation plan that complies with this subsection (9)(b).</w:t>
      </w:r>
    </w:p>
    <w:p>
      <w:pPr>
        <w:spacing w:before="0" w:after="0" w:line="408" w:lineRule="exact"/>
        <w:ind w:left="0" w:right="0" w:firstLine="576"/>
        <w:jc w:val="left"/>
      </w:pPr>
      <w:r>
        <w:rPr>
          <w:u w:val="single"/>
        </w:rPr>
        <w:t xml:space="preserve">(c) For the jurisdictions set forth in section 3 of this act, updates to comprehensive plans and related development regulations made during the update cycle that begins in 2024 must adopt measures identified by the department pursuant to section 5 of this act that are likely to result in reductions of greenhouse gas emissions and per capita vehicle miles traveled.</w:t>
      </w:r>
    </w:p>
    <w:p>
      <w:pPr>
        <w:spacing w:before="0" w:after="0" w:line="408" w:lineRule="exact"/>
        <w:ind w:left="0" w:right="0" w:firstLine="576"/>
        <w:jc w:val="left"/>
      </w:pPr>
      <w:r>
        <w:rPr>
          <w:u w:val="single"/>
        </w:rPr>
        <w:t xml:space="preserve">(d) The adoption of ordinances, amendments to comprehensive plans, amendments to development regulations, and other nonproject actions taken by a county or city pursuant to (a) or (c)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have available to them to take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overburdened communities as defined in RCW 70A.02.010,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using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 as defined in RCW 70A.02.010.</w:t>
      </w:r>
    </w:p>
    <w:p>
      <w:pPr>
        <w:spacing w:before="0" w:after="0" w:line="408" w:lineRule="exact"/>
        <w:ind w:left="0" w:right="0" w:firstLine="576"/>
        <w:jc w:val="left"/>
      </w:pPr>
      <w:r>
        <w:rPr/>
        <w:t xml:space="preserve">(2) The department of commerce, in consultation with the department of transportation, shall publish guidelines that specify a set of measures counties and cities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 and</w:t>
      </w:r>
    </w:p>
    <w:p>
      <w:pPr>
        <w:spacing w:before="0" w:after="0" w:line="408" w:lineRule="exact"/>
        <w:ind w:left="0" w:right="0" w:firstLine="576"/>
        <w:jc w:val="left"/>
      </w:pPr>
      <w:r>
        <w:rPr/>
        <w:t xml:space="preserve">(c)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four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2022, in order to be available for use by jurisdictions whose periodic updates are required by RCW 36.70A.130(5) to occur prior to December 31, 2025.</w:t>
      </w:r>
    </w:p>
    <w:p>
      <w:pPr>
        <w:spacing w:before="0" w:after="0" w:line="408" w:lineRule="exact"/>
        <w:ind w:left="0" w:right="0" w:firstLine="576"/>
        <w:jc w:val="left"/>
      </w:pPr>
      <w:r>
        <w:rPr/>
        <w:t xml:space="preserve">(4) In any updates to the guidelines published after 2025, the department of commerce shall include a determination of whether adequate progress has been made toward the statewide greenhouse gas and per capita vehicle miles traveled reduction goals. If adequate progress is not being made, the department must identify in the guidelines what additional measures cities and counties must take in order to make further progress.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housing diversity and that assist counties and cities in meeting greenhouse gas emissions reduction and other requirements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The department shall strive to achieve final action on a submitted greenhouse gas emissions reduction subelement within 180 days of receipt and shall post an annual assessment related to this performance benchmark on the agency website.</w:t>
      </w:r>
    </w:p>
    <w:p>
      <w:pPr>
        <w:spacing w:before="0" w:after="0" w:line="408" w:lineRule="exact"/>
        <w:ind w:left="0" w:right="0" w:firstLine="576"/>
        <w:jc w:val="left"/>
      </w:pPr>
      <w:r>
        <w:rPr/>
        <w:t xml:space="preserve">(3) Upon receipt of a proposed greenhouse gas emissions reduction subelement,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greenhouse gas emissions reduction subelements. The comment period shall be at least 30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30-day comment period in the jurisdiction proposing the greenhouse gas emissions reduction subelement;</w:t>
      </w:r>
    </w:p>
    <w:p>
      <w:pPr>
        <w:spacing w:before="0" w:after="0" w:line="408" w:lineRule="exact"/>
        <w:ind w:left="0" w:right="0" w:firstLine="576"/>
        <w:jc w:val="left"/>
      </w:pPr>
      <w:r>
        <w:rPr/>
        <w:t xml:space="preserve">(c) Within 15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(d) Within 30 days after receipt of the local government response pursuant to (c) of this subsection, make written findings and conclusions regarding the consistency of the proposal with the policy of RCW 36.70A.070 and, after they are adopted, the applicable guidelines adopted by the department pursuant to section 5 of this act and any reduction allocations made pursuant to RCW 36.70A.100, provide a response to the issues identified in (c) of this subsection, and either approve the greenhouse gas emissions reduction subelement as submitted, recommend specific changes necessary to make the greenhouse gas emissions reduction subelement approvable, or deny approval of the greenhouse gas emissions reduction subelement in those instances where no alteration of the greenhouse gas emissions reduction subelement appears likely to be consistent with the policy of RCW 36.70A.070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greenhouse gas emissions reduction subelement, within 90 days after the department mails the written findings and conclusions to the local government, require the local government to:</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greenhouse gas emissions reduction subelement.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proposed greenhouse gas emissions reduction subelement is not consistent with the purpose and intent of the changes proposed by the department, the department may resubmit the proposed greenhouse gas emissions reduction subelement for public and agency review pursuant to this section or reject the proposed greenhouse gas emissions reduction subelement.</w:t>
      </w:r>
    </w:p>
    <w:p>
      <w:pPr>
        <w:spacing w:before="0" w:after="0" w:line="408" w:lineRule="exact"/>
        <w:ind w:left="0" w:right="0" w:firstLine="576"/>
        <w:jc w:val="left"/>
      </w:pPr>
      <w:r>
        <w:rPr/>
        <w:t xml:space="preserve">(4)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(5) A greenhouse gas emissions reduction subelement takes effect when and in such form as approved or adopted by the department. The effective date is 14 days from the date of the department's written notice of final action to the local government stating the department has approved or rejected the proposed greenhouse gas emissions reduction subelement. The department's written notice to the local government must conspicuously and plainly state that it is the department's final decision and that there will be no further modifications to the proposed greenhouse gas emissions reduction subelement. The department shall maintain a record of each greenhouse gas emissions reduction subelement, the action taken on any proposed greenhouse gas emissions reduction subelement, and any appeal of the department's action. The department's approved document of record constitutes the official greenhouse gas emissions reduction subelement.</w:t>
      </w:r>
    </w:p>
    <w:p>
      <w:pPr>
        <w:spacing w:before="0" w:after="0" w:line="408" w:lineRule="exact"/>
        <w:ind w:left="0" w:right="0" w:firstLine="576"/>
        <w:jc w:val="left"/>
      </w:pPr>
      <w:r>
        <w:rPr/>
        <w:t xml:space="preserve">(6) Promptly after approval or disapproval of a local government's greenhouse gas emissions reduction subelement, the department shall publish a notice consistent with RCW 36.70A.290 that the greenhouse gas emissions reduction subelement has been approved or disapproved. This notice must be filed for all greenhouse gas emissions reduction subelements.</w:t>
      </w:r>
    </w:p>
    <w:p>
      <w:pPr>
        <w:spacing w:before="0" w:after="0" w:line="408" w:lineRule="exact"/>
        <w:ind w:left="0" w:right="0" w:firstLine="576"/>
        <w:jc w:val="left"/>
      </w:pPr>
      <w:r>
        <w:rPr/>
        <w:t xml:space="preserve">(7)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36.70A.070(9)(b),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t>((</w:t>
      </w:r>
      <w:r>
        <w:rPr>
          <w:strike/>
        </w:rPr>
        <w:t xml:space="preserve">and other relevant factors</w:t>
      </w:r>
      <w:r>
        <w:t>))</w:t>
      </w:r>
      <w:r>
        <w:rPr/>
        <w:t xml:space="preserve"> </w:t>
      </w:r>
      <w:r>
        <w:rPr>
          <w:u w:val="single"/>
        </w:rPr>
        <w:t xml:space="preserve">presence of overburdened communities, and other relevant factors. The department shall establish funding levels for grants to community-based organizations for the specific purpose of advancing participation of vulnerable populations and overburdened communities in the planning process</w:t>
      </w:r>
      <w:r>
        <w:rPr/>
        <w:t xml:space="preserve">.</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0" w:after="0" w:line="408" w:lineRule="exact"/>
        <w:ind w:left="0" w:right="0" w:firstLine="576"/>
        <w:jc w:val="left"/>
      </w:pPr>
      <w:r>
        <w:rPr>
          <w:u w:val="single"/>
        </w:rPr>
        <w:t xml:space="preserve">(7)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with a focus on the equitable distribution of resources, benefits, and burdens in a manner that prioritizes communities that experience the greatest inequities, disproportionate impacts, and have the greatest unmet needs.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built structures, and management practices at multiple scales that manage wet weather and that maintain and restore natural hydrology by storing, infiltrating, evapotranspiring, and harvesting and using stormwater.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(a) or (c)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obligation of local governments to comply with the requirements established in: (a) The amendments to RCW 36.70A.070 set forth in this act; and (b) the updated shoreline master program guidelines adopted pursuant to section 10 of this act, is contingent on the provision of state funding to local governments for the specific purpose of complying with these requirements.</w:t>
      </w:r>
    </w:p>
    <w:p>
      <w:pPr>
        <w:spacing w:before="0" w:after="0" w:line="408" w:lineRule="exact"/>
        <w:ind w:left="0" w:right="0" w:firstLine="576"/>
        <w:jc w:val="left"/>
      </w:pPr>
      <w:r>
        <w:rPr/>
        <w:t xml:space="preserve">(2) The obligation of local governments to comply with the requirements established in: (a) The amendments to RCW 36.70A.070 set forth in this act; and (b) the updated shoreline master program guidelines adopted pursuant to section 10 of this act, takes effect two years after the date the legislature appropriates state funding to provide to local governments for the purpose of complying with these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r>
        <w:rPr>
          <w:b/>
        </w:rPr>
        <w:t xml:space="preserve">OUT OF ORDER 03/03/2022</w:t>
      </w:r>
    </w:p>
    <w:p>
      <w:pPr>
        <w:spacing w:before="0" w:after="0" w:line="408" w:lineRule="exact"/>
        <w:ind w:left="0" w:right="0" w:firstLine="576"/>
        <w:jc w:val="left"/>
      </w:pPr>
      <w:r>
        <w:rPr/>
        <w:t xml:space="preserve">On page 1, line 2 of the title, after "framework;" strike the remainder of the title and insert "amending RCW 36.70A.020, 36.70A.480, 36.70A.070, 36.70A.320, 36.70A.190, 36.70A.030, and 86.12.200; adding new sections to chapter 36.70A RCW; adding a new section to chapter 70A.45 RCW; adding a new section to chapter 47.80 RCW; adding a new section to chapter 90.58 RCW; adding a new section to chapter 43.21C RCW; and creating new sections."</w:t>
      </w:r>
    </w:p>
    <w:p>
      <w:pPr>
        <w:spacing w:before="0" w:after="0" w:line="408" w:lineRule="exact"/>
        <w:ind w:left="0" w:right="0" w:firstLine="576"/>
        <w:jc w:val="left"/>
      </w:pPr>
      <w:r>
        <w:rPr>
          <w:u w:val="single"/>
        </w:rPr>
        <w:t xml:space="preserve">EFFECT:</w:t>
      </w:r>
      <w:r>
        <w:rPr/>
        <w:t xml:space="preserve"> (1) Encourages the participation and consideration of vulnerable populations and overburdened communities in comprehensive plan updates, efforts to reduce localized greenhouse gas emissions and climate impacts, cobenefits of reduced air pollution and environmental justice, department of commerce guidelines with respect to the additional greenhouse gas emission reduction goals, and grant funding for planning processes.</w:t>
      </w:r>
    </w:p>
    <w:p>
      <w:pPr>
        <w:spacing w:before="0" w:after="0" w:line="408" w:lineRule="exact"/>
        <w:ind w:left="0" w:right="0" w:firstLine="576"/>
        <w:jc w:val="left"/>
      </w:pPr>
      <w:r>
        <w:rPr/>
        <w:t xml:space="preserve">(2) Modifies multiple goals of GMA elements, including:</w:t>
      </w:r>
    </w:p>
    <w:p>
      <w:pPr>
        <w:spacing w:before="0" w:after="0" w:line="408" w:lineRule="exact"/>
        <w:ind w:left="0" w:right="0" w:firstLine="576"/>
        <w:jc w:val="left"/>
      </w:pPr>
      <w:r>
        <w:rPr/>
        <w:t xml:space="preserve">(a) Land use element: Adds consideration of greenspaces, reduction of residential development pressure in wildland urban interface areas, and protecting existing residential development through fire adaption measures;</w:t>
      </w:r>
    </w:p>
    <w:p>
      <w:pPr>
        <w:spacing w:before="0" w:after="0" w:line="408" w:lineRule="exact"/>
        <w:ind w:left="0" w:right="0" w:firstLine="576"/>
        <w:jc w:val="left"/>
      </w:pPr>
      <w:r>
        <w:rPr/>
        <w:t xml:space="preserve">(b) Capital facilities plan element: Includes green infrastructure as part of a jurisdiction's inventory of existing capital facilities;</w:t>
      </w:r>
    </w:p>
    <w:p>
      <w:pPr>
        <w:spacing w:before="0" w:after="0" w:line="408" w:lineRule="exact"/>
        <w:ind w:left="0" w:right="0" w:firstLine="576"/>
        <w:jc w:val="left"/>
      </w:pPr>
      <w:r>
        <w:rPr/>
        <w:t xml:space="preserve">(c) Utilities element: Provides additional utilities that must be included in the comprehensive plan, including drinking water, stormwater, and wastewater utilities;</w:t>
      </w:r>
    </w:p>
    <w:p>
      <w:pPr>
        <w:spacing w:before="0" w:after="0" w:line="408" w:lineRule="exact"/>
        <w:ind w:left="0" w:right="0" w:firstLine="576"/>
        <w:jc w:val="left"/>
      </w:pPr>
      <w:r>
        <w:rPr/>
        <w:t xml:space="preserve">(d) Transportation element: Includes state-owned or operated transit routes that serve urban areas when measuring level of service standards;</w:t>
      </w:r>
    </w:p>
    <w:p>
      <w:pPr>
        <w:spacing w:before="0" w:after="0" w:line="408" w:lineRule="exact"/>
        <w:ind w:left="0" w:right="0" w:firstLine="576"/>
        <w:jc w:val="left"/>
      </w:pPr>
      <w:r>
        <w:rPr/>
        <w:t xml:space="preserve">(e) Climate change and resiliency element: Adds that efforts to reduce localized greenhouse gas emissions must avoid creating or worsening localized climate impacts to vulnerable populations and overburdened communities; and</w:t>
      </w:r>
    </w:p>
    <w:p>
      <w:pPr>
        <w:spacing w:before="0" w:after="0" w:line="408" w:lineRule="exact"/>
        <w:ind w:left="0" w:right="0" w:firstLine="576"/>
        <w:jc w:val="left"/>
      </w:pPr>
      <w:r>
        <w:rPr/>
        <w:t xml:space="preserve">(f) Resiliency subelement: Clarifies the specific goals, policies, and programs of the subelement, as well as adds guidance for local governments that have adopted a federal emergency management agency natural hazard mitigation plan.</w:t>
      </w:r>
    </w:p>
    <w:p>
      <w:pPr>
        <w:spacing w:before="0" w:after="0" w:line="408" w:lineRule="exact"/>
        <w:ind w:left="0" w:right="0" w:firstLine="576"/>
        <w:jc w:val="left"/>
      </w:pPr>
      <w:r>
        <w:rPr/>
        <w:t xml:space="preserve">(3) Provides that the department of commerce must publish guidelines that prioritize reductions in overburdened communities, and guidelines must be developed using an environmental justice assessment.</w:t>
      </w:r>
    </w:p>
    <w:p>
      <w:pPr>
        <w:spacing w:before="0" w:after="0" w:line="408" w:lineRule="exact"/>
        <w:ind w:left="0" w:right="0" w:firstLine="576"/>
        <w:jc w:val="left"/>
      </w:pPr>
      <w:r>
        <w:rPr/>
        <w:t xml:space="preserve">(4) Alters the effective date for counties or cities that submit a greenhouse gas emission reduction subelement plan to the department of commerce.</w:t>
      </w:r>
    </w:p>
    <w:p>
      <w:pPr>
        <w:spacing w:before="0" w:after="0" w:line="408" w:lineRule="exact"/>
        <w:ind w:left="0" w:right="0" w:firstLine="576"/>
        <w:jc w:val="left"/>
      </w:pPr>
      <w:r>
        <w:rPr/>
        <w:t xml:space="preserve">(5) Requires the department of commerce to include the presence of overburdened communities as part of the priority list for providing planning, technical, or financial assistance for local governments planning under the GMA. Requires the department to establish funding levels for grants to community-based organizations for the purpose of advancing the participation of vulnerable populations and overburdened communities in the planning process.</w:t>
      </w:r>
    </w:p>
    <w:p>
      <w:pPr>
        <w:spacing w:before="0" w:after="0" w:line="408" w:lineRule="exact"/>
        <w:ind w:left="0" w:right="0" w:firstLine="576"/>
        <w:jc w:val="left"/>
      </w:pPr>
      <w:r>
        <w:rPr/>
        <w:t xml:space="preserve">(6) Clarifies that a model climate change and resiliency element must establish minimum requirements, including model options or voluntary cross-jurisdictional strategies, for fulfilling the new elements provided in this act.</w:t>
      </w:r>
    </w:p>
    <w:p>
      <w:pPr>
        <w:spacing w:before="0" w:after="0" w:line="408" w:lineRule="exact"/>
        <w:ind w:left="0" w:right="0" w:firstLine="576"/>
        <w:jc w:val="left"/>
      </w:pPr>
      <w:r>
        <w:rPr/>
        <w:t xml:space="preserve">(7) Defines "greenspace" and "green infrastructure" for purposes of this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5c834b3f0e4d0d" /></Relationships>
</file>