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7dbf0f72744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S2224.2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03/24/2021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a result of a conviction for an offense involving the unlawful possession of a firearm under RCW 9.41.040,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5, after "confinement"" strike all material through "9.94A.030" and insert "means confinement inside the physical boundaries of a facility or institution operated or utilized under contract by the state or any other unit of government for 24 hours a day, or pursuant to RCW 72.64.050 and 72.64.060, or community custody as directed under RCW 9.94A.701 (1)(b) or (2) as a result of a conviction for a violent offense or serious violent offense on a judge, prosecutor, sheriff, or law enforcement officer"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9, insert "</w:t>
      </w:r>
      <w:r>
        <w:rPr>
          <w:u w:val="single"/>
        </w:rPr>
        <w:t xml:space="preserve">includes community custody as a result of a conviction for an offense involving the unlawful possession of a firearm under RCW 9.41.040,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a result of a conviction for an offense involving the unlawful possession of a firearm under RCW 9.41.040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a result of a conviction for an offense involving the unlawful possession of a firearm under RCW 9.41.040,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or community custody as a result of a conviction for an offense involving the unlawful possession of a firearm under RCW 9.41.040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an offense involving the unlawful possession of a firearm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cb5af56e4b45" /></Relationships>
</file>