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76295c9954a5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1054-S.E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MCCU</w:t>
        </w:r>
      </w:r>
      <w:r>
        <w:rPr>
          <w:b/>
        </w:rPr>
        <w:t xml:space="preserve"> </w:t>
        <w:r>
          <w:rPr/>
          <w:t xml:space="preserve">S2388.1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1054</w:t>
      </w:r>
      <w:r>
        <w:t xml:space="preserve"> -</w:t>
      </w:r>
      <w:r>
        <w:t xml:space="preserve"> </w:t>
        <w:t xml:space="preserve">S AMD TO S AMD (S-2234.4/21)</w:t>
      </w:r>
      <w:r>
        <w:t xml:space="preserve"> </w:t>
      </w:r>
      <w:r>
        <w:rPr>
          <w:b/>
        </w:rPr>
        <w:t xml:space="preserve">592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McCune</w:t>
      </w:r>
    </w:p>
    <w:p>
      <w:pPr>
        <w:jc w:val="right"/>
      </w:pPr>
      <w:r>
        <w:rPr>
          <w:b/>
        </w:rPr>
        <w:t xml:space="preserve">NOT ADOPTED 04/06/2021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23, after "chokehold" strike "or neck restraint"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26, after "section" insert "and the determination made by the criminal justice training commission under subsection (4) of this section"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1, after "(b)" strike all material through "flow" on line 3 and insert ""Lateral vascular neck restraint" means the use of a control technique where pressure is applied to the sides of the neck, using a combination of physiological factors to restrict blood flow to the brain, which may cause the subject to temporarily lose consciousness"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3,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"(4) The criminal justice training commission shall conduct a study to determine whether the use of a lateral vascular neck restraint constitutes deadly force, as defined in RCW 9A.16.010. The criminal justice training commission shall publish its findings in a report on its website by December 1, 2021. If the commission determines the use of a lateral vascular neck restraint does not constitute deadly force, the report required under this subsection must include a determination as to the appropriate circumstances for use of a lateral vascular neck restraint by a peace officer."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prohibition against the use of neck restraints; modifies the definition of neck restraints; requires the CJTC to conduct a study on the use of lateral vascular neck restraints, publish its findings, and include a determination as to whether a lateral vascular neck restraint constitutes deadly force; requires law enforcement policies to be consistent with the determination by the CJTC.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b843d2fba4d1a" /></Relationships>
</file>