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b65dddfef64671" /></Relationships>
</file>

<file path=word/document.xml><?xml version="1.0" encoding="utf-8"?>
<w:document xmlns:w="http://schemas.openxmlformats.org/wordprocessingml/2006/main">
  <w:body>
    <w:p>
      <w:r>
        <w:rPr>
          <w:b/>
        </w:rPr>
        <w:r>
          <w:rPr/>
          <w:t xml:space="preserve">5796-S2.E</w:t>
        </w:r>
      </w:r>
      <w:r>
        <w:rPr>
          <w:b/>
        </w:rPr>
        <w:t xml:space="preserve"> </w:t>
        <w:t xml:space="preserve">AMH</w:t>
      </w:r>
      <w:r>
        <w:rPr>
          <w:b/>
        </w:rPr>
        <w:t xml:space="preserve"> </w:t>
        <w:r>
          <w:rPr/>
          <w:t xml:space="preserve">SULP</w:t>
        </w:r>
      </w:r>
      <w:r>
        <w:rPr>
          <w:b/>
        </w:rPr>
        <w:t xml:space="preserve"> </w:t>
        <w:r>
          <w:rPr/>
          <w:t xml:space="preserve">H2967.1</w:t>
        </w:r>
      </w:r>
      <w:r>
        <w:rPr>
          <w:b/>
        </w:rPr>
        <w:t xml:space="preserve"> - NOT FOR FLOOR USE</w:t>
      </w:r>
    </w:p>
    <w:p>
      <w:pPr>
        <w:ind w:left="0" w:right="0" w:firstLine="576"/>
      </w:pPr>
    </w:p>
    <w:p>
      <w:pPr>
        <w:spacing w:before="480" w:after="0" w:line="408" w:lineRule="exact"/>
      </w:pPr>
      <w:r>
        <w:rPr>
          <w:b/>
          <w:u w:val="single"/>
        </w:rPr>
        <w:t xml:space="preserve">E2SSB 5796</w:t>
      </w:r>
      <w:r>
        <w:t xml:space="preserve"> -</w:t>
      </w:r>
      <w:r>
        <w:t xml:space="preserve"> </w:t>
        <w:t xml:space="preserve">H AMD</w:t>
      </w:r>
      <w:r>
        <w:t xml:space="preserve"> </w:t>
      </w:r>
      <w:r>
        <w:rPr>
          <w:b/>
        </w:rPr>
        <w:t xml:space="preserve">1333</w:t>
      </w:r>
    </w:p>
    <w:p>
      <w:pPr>
        <w:spacing w:before="0" w:after="0" w:line="408" w:lineRule="exact"/>
        <w:ind w:left="0" w:right="0" w:firstLine="576"/>
        <w:jc w:val="left"/>
      </w:pPr>
      <w:r>
        <w:rPr/>
        <w:t xml:space="preserve">By Representative Sullivan</w:t>
      </w:r>
    </w:p>
    <w:p>
      <w:pPr>
        <w:jc w:val="right"/>
      </w:pPr>
      <w:r>
        <w:rPr>
          <w:b/>
        </w:rPr>
        <w:t xml:space="preserve">ADOPTED AS AMENDED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t>((</w:t>
      </w:r>
      <w:r>
        <w:rPr>
          <w:strike/>
        </w:rPr>
        <w:t xml:space="preserve">During the 2015-2017 and 2017-2019 fiscal biennia, the legislature may transfer from the dedicated marijuana account to the basic health plan trust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t>((</w:t>
      </w:r>
      <w:r>
        <w:rPr>
          <w:strike/>
        </w:rPr>
        <w:t xml:space="preserve">The legislature must annually appropriate moneys in the dedicated marijuana account created in RCW 69.50.530 as follows:</w:t>
      </w:r>
      <w:r>
        <w:t>))</w:t>
      </w:r>
    </w:p>
    <w:p>
      <w:pPr>
        <w:spacing w:before="0" w:after="0" w:line="408" w:lineRule="exact"/>
        <w:ind w:left="0" w:right="0" w:firstLine="576"/>
        <w:jc w:val="left"/>
      </w:pPr>
      <w:r>
        <w:rPr/>
        <w:t xml:space="preserve">(1) For the purposes </w:t>
      </w:r>
      <w:r>
        <w:t>((</w:t>
      </w:r>
      <w:r>
        <w:rPr>
          <w:strike/>
        </w:rPr>
        <w:t xml:space="preserve">listed in</w:t>
      </w:r>
      <w:r>
        <w:t>))</w:t>
      </w:r>
      <w:r>
        <w:rPr/>
        <w:t xml:space="preserve"> </w:t>
      </w:r>
      <w:r>
        <w:rPr>
          <w:u w:val="single"/>
        </w:rPr>
        <w:t xml:space="preserve">of</w:t>
      </w:r>
      <w:r>
        <w:rPr/>
        <w:t xml:space="preserve"> this subsection (1), the legislature must appropriate </w:t>
      </w:r>
      <w:r>
        <w:t>((</w:t>
      </w:r>
      <w:r>
        <w:rPr>
          <w:strike/>
        </w:rPr>
        <w:t xml:space="preserve">to the respective agencies amounts sufficient to make the following expenditures on a quarterly basis or as</w:t>
      </w:r>
      <w:r>
        <w:t>))</w:t>
      </w:r>
      <w:r>
        <w:rPr/>
        <w:t xml:space="preserve"> </w:t>
      </w:r>
      <w:r>
        <w:rPr>
          <w:u w:val="single"/>
        </w:rPr>
        <w:t xml:space="preserve">the amounts</w:t>
      </w:r>
      <w:r>
        <w:rPr/>
        <w:t xml:space="preserve"> provided in this subsection:</w:t>
      </w:r>
    </w:p>
    <w:p>
      <w:pPr>
        <w:spacing w:before="0" w:after="0" w:line="408" w:lineRule="exact"/>
        <w:ind w:left="0" w:right="0" w:firstLine="576"/>
        <w:jc w:val="left"/>
      </w:pPr>
      <w:r>
        <w:rPr/>
        <w:t xml:space="preserve">(a) </w:t>
      </w:r>
      <w:r>
        <w:t>((</w:t>
      </w:r>
      <w:r>
        <w:rPr>
          <w:strike/>
        </w:rPr>
        <w:t xml:space="preserve">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strike/>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strike/>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strike/>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strike/>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strike/>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strik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strike/>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strike/>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strike/>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strike/>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strike/>
        </w:rPr>
        <w:t xml:space="preserve">(i) One million six hundred fifty thousand dollars for fiscal year 2022 and one million six hundred fifty thousand dollars for fiscal year 2023 to the department of commerce to fund the marijuana social equity technical assistance competitive grant program under RCW 43.330.540; and</w:t>
      </w:r>
    </w:p>
    <w:p>
      <w:pPr>
        <w:spacing w:before="0" w:after="0" w:line="408" w:lineRule="exact"/>
        <w:ind w:left="0" w:right="0" w:firstLine="576"/>
        <w:jc w:val="left"/>
      </w:pPr>
      <w:r>
        <w:rPr>
          <w:strike/>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Engrossed Substitute House Bill No. 1443 (cannabis industry/equity) [chapter 169, Laws of 2021]; and</w:t>
      </w:r>
    </w:p>
    <w:p>
      <w:pPr>
        <w:spacing w:before="0" w:after="0" w:line="408" w:lineRule="exact"/>
        <w:ind w:left="0" w:right="0" w:firstLine="576"/>
        <w:jc w:val="left"/>
      </w:pPr>
      <w:r>
        <w:rPr>
          <w:strike/>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strike/>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strike/>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strike/>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strike/>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strike/>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strike/>
        </w:rPr>
        <w:t xml:space="preserve">(b)(i) Up to ten percent to the department of health for the following, subject to (b)(ii) of this subsection (2):</w:t>
      </w:r>
    </w:p>
    <w:p>
      <w:pPr>
        <w:spacing w:before="0" w:after="0" w:line="408" w:lineRule="exact"/>
        <w:ind w:left="0" w:right="0" w:firstLine="576"/>
        <w:jc w:val="left"/>
      </w:pPr>
      <w:r>
        <w:rPr>
          <w:strike/>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strike/>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strike/>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strike/>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strike/>
        </w:rPr>
        <w:t xml:space="preserve">(B) The Washington poison control center.</w:t>
      </w:r>
    </w:p>
    <w:p>
      <w:pPr>
        <w:spacing w:before="0" w:after="0" w:line="408" w:lineRule="exact"/>
        <w:ind w:left="0" w:right="0" w:firstLine="576"/>
        <w:jc w:val="left"/>
      </w:pPr>
      <w:r>
        <w:rPr>
          <w:strike/>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strike/>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strike/>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strike/>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strike/>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strike/>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strike/>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strike/>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strike/>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strike/>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strike/>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strik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strike/>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strike/>
        </w:rPr>
        <w:t xml:space="preserve">(iv) The total share of marijuana excise tax revenues distributed to counties and cities in (g)(i) of this subsection (2) may not exceed fifteen million dollars in fiscal years 2018, 2019, 2020, and 2021, and twenty million dollars per fiscal year thereafter</w:t>
      </w:r>
      <w:r>
        <w:t>))</w:t>
      </w:r>
      <w:r>
        <w:rPr/>
        <w:t xml:space="preserve"> </w:t>
      </w:r>
      <w:r>
        <w:rPr>
          <w:u w:val="single"/>
        </w:rPr>
        <w:t xml:space="preserve">$12,500,000 annually to the board for administration of this chapter as appropriated in the omnibus appropriations act;</w:t>
      </w:r>
    </w:p>
    <w:p>
      <w:pPr>
        <w:spacing w:before="0" w:after="0" w:line="408" w:lineRule="exact"/>
        <w:ind w:left="0" w:right="0" w:firstLine="576"/>
        <w:jc w:val="left"/>
      </w:pPr>
      <w:r>
        <w:rPr>
          <w:u w:val="single"/>
        </w:rPr>
        <w:t xml:space="preserve">(b) $11,000,000 annually to the department of health for the following:</w:t>
      </w:r>
    </w:p>
    <w:p>
      <w:pPr>
        <w:spacing w:before="0" w:after="0" w:line="408" w:lineRule="exact"/>
        <w:ind w:left="0" w:right="0" w:firstLine="576"/>
        <w:jc w:val="left"/>
      </w:pPr>
      <w:r>
        <w:rPr>
          <w:u w:val="single"/>
        </w:rPr>
        <w:t xml:space="preserve">(i) Creation, implementation, operation, and management of a marijuana, vapor product, and commercial tobacco education and public health program that contains the following:</w:t>
      </w:r>
    </w:p>
    <w:p>
      <w:pPr>
        <w:spacing w:before="0" w:after="0" w:line="408" w:lineRule="exact"/>
        <w:ind w:left="0" w:right="0" w:firstLine="576"/>
        <w:jc w:val="left"/>
      </w:pPr>
      <w:r>
        <w:rPr>
          <w:u w:val="single"/>
        </w:rPr>
        <w:t xml:space="preserve">(A) A marijuana use public health hotline that provides referrals to substance abuse treatment providers, uses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u w:val="single"/>
        </w:rPr>
        <w:t xml:space="preserve">(B) Programs that support development and implementation of coordinated intervention strategies for the prevention and reduction of commercial tobacco, vapor product, and marijuana use by youth and marijuana cessation treatment services, including grant programs to local health departments or other local community agencies;</w:t>
      </w:r>
    </w:p>
    <w:p>
      <w:pPr>
        <w:spacing w:before="0" w:after="0" w:line="408" w:lineRule="exact"/>
        <w:ind w:left="0" w:right="0" w:firstLine="576"/>
        <w:jc w:val="left"/>
      </w:pPr>
      <w:r>
        <w:rPr>
          <w:u w:val="single"/>
        </w:rPr>
        <w:t xml:space="preserve">(C)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u w:val="single"/>
        </w:rPr>
        <w:t xml:space="preserve">(D) Outreach to priority populations regarding commercial tobacco, vapor product, and marijuana use, prevention, and cessation; and</w:t>
      </w:r>
    </w:p>
    <w:p>
      <w:pPr>
        <w:spacing w:before="0" w:after="0" w:line="408" w:lineRule="exact"/>
        <w:ind w:left="0" w:right="0" w:firstLine="576"/>
        <w:jc w:val="left"/>
      </w:pPr>
      <w:r>
        <w:rPr>
          <w:u w:val="single"/>
        </w:rPr>
        <w:t xml:space="preserve">(ii) The Washington poison control center;</w:t>
      </w:r>
    </w:p>
    <w:p>
      <w:pPr>
        <w:spacing w:before="0" w:after="0" w:line="408" w:lineRule="exact"/>
        <w:ind w:left="0" w:right="0" w:firstLine="576"/>
        <w:jc w:val="left"/>
      </w:pPr>
      <w:r>
        <w:rPr>
          <w:u w:val="single"/>
        </w:rPr>
        <w:t xml:space="preserve">(c)(i) $3,000,000 annually to the department of commerce to fund cannabis social equity grants under RCW 43.330.540; and</w:t>
      </w:r>
    </w:p>
    <w:p>
      <w:pPr>
        <w:spacing w:before="0" w:after="0" w:line="408" w:lineRule="exact"/>
        <w:ind w:left="0" w:right="0" w:firstLine="576"/>
        <w:jc w:val="left"/>
      </w:pPr>
      <w:r>
        <w:rPr>
          <w:u w:val="single"/>
        </w:rPr>
        <w:t xml:space="preserve">(ii) $200,000 annually to the department of commerce to fund technical assistance through a roster of mentors under RCW 43.330.540;</w:t>
      </w:r>
    </w:p>
    <w:p>
      <w:pPr>
        <w:spacing w:before="0" w:after="0" w:line="408" w:lineRule="exact"/>
        <w:ind w:left="0" w:right="0" w:firstLine="576"/>
        <w:jc w:val="left"/>
      </w:pPr>
      <w:r>
        <w:rPr>
          <w:u w:val="single"/>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u w:val="single"/>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u w:val="single"/>
        </w:rPr>
        <w:t xml:space="preserve">(f) $300,000 annually to the University of Washington and $175,000 annually to the Washington State University for research on the short-term and long-term effects of marijuana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u w:val="single"/>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u w:val="single"/>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u w:val="single"/>
        </w:rPr>
        <w:t xml:space="preserve">(i) $270,000 for fiscal year 2022 and $290,000 for fiscal year 2023 to the department of ecology for implementation of accreditation of marijuana product testing laboratories;</w:t>
      </w:r>
    </w:p>
    <w:p>
      <w:pPr>
        <w:spacing w:before="0" w:after="0" w:line="408" w:lineRule="exact"/>
        <w:ind w:left="0" w:right="0" w:firstLine="576"/>
        <w:jc w:val="left"/>
      </w:pPr>
      <w:r>
        <w:rPr>
          <w:u w:val="single"/>
        </w:rPr>
        <w:t xml:space="preserve">(j) $800,000 for each of fiscal years 2020 through 2023 to the department of health for the administration of the marijuana authorization database; and</w:t>
      </w:r>
    </w:p>
    <w:p>
      <w:pPr>
        <w:spacing w:before="0" w:after="0" w:line="408" w:lineRule="exact"/>
        <w:ind w:left="0" w:right="0" w:firstLine="576"/>
        <w:jc w:val="left"/>
      </w:pPr>
      <w:r>
        <w:rPr>
          <w:u w:val="single"/>
        </w:rPr>
        <w:t xml:space="preserve">(k) $621,000 for fiscal year 2022 and $635,000 for fiscal year 2023 to the department of agriculture for compliance-based laboratory analysis of pesticides in marijuana.</w:t>
      </w:r>
    </w:p>
    <w:p>
      <w:pPr>
        <w:spacing w:before="0" w:after="0" w:line="408" w:lineRule="exact"/>
        <w:ind w:left="0" w:right="0" w:firstLine="576"/>
        <w:jc w:val="left"/>
      </w:pPr>
      <w:r>
        <w:rPr>
          <w:u w:val="single"/>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u w:val="single"/>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u w:val="single"/>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u w:val="single"/>
        </w:rPr>
        <w:t xml:space="preserve">(b) Eleven percent to the health care authority to:</w:t>
      </w:r>
    </w:p>
    <w:p>
      <w:pPr>
        <w:spacing w:before="0" w:after="0" w:line="408" w:lineRule="exact"/>
        <w:ind w:left="0" w:right="0" w:firstLine="576"/>
        <w:jc w:val="left"/>
      </w:pPr>
      <w:r>
        <w:rPr>
          <w:u w:val="single"/>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u w:val="single"/>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u w:val="single"/>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u w:val="single"/>
        </w:rPr>
        <w:t xml:space="preserve">(c)(i) One and one-half percent to counties, cities, and towns where licensed marijuana retailers are physically located. Each jurisdiction must receive a share of the revenue distribution under this subsection (3)(c)(i) based on the proportional share of the total revenues generated in the individual jurisdiction from the taxes collected under RCW 69.50.535, from licensed marijuana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u w:val="single"/>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u w:val="single"/>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u w:val="single"/>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u w:val="single"/>
        </w:rPr>
        <w:t xml:space="preserve">(d) Thirty-two percent must be deposited in the state general fund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the appropriation and expenditure of cannabis revenues pursuant to RCW 69.50.540 and report to the appropriate legislative committees by December 1, 2023. The report shall include an examination on the appropriation and expenditure of these funds to evaluate: How these funds have been appropriated and expended; whether the appropriations and expenditures are consistent with the provisions of RCW 69.50.540; and whether information related to the appropriations and expenditures is readily available to the general public. The report shall include options for increasing the transparency and accountability related to the appropriation and expenditure of cannabis-related revenues."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a proposed reference to loans in the context of funding for a cannabis social equity grant program administered by the Department of Commerce;</w:t>
      </w:r>
    </w:p>
    <w:p>
      <w:pPr>
        <w:spacing w:before="0" w:after="0" w:line="408" w:lineRule="exact"/>
        <w:ind w:left="0" w:right="0" w:firstLine="576"/>
        <w:jc w:val="left"/>
      </w:pPr>
      <w:r>
        <w:rPr/>
        <w:t xml:space="preserve">(2) Directs $200,000 annually instead of a proposed $250,000 annually, until June 30, 2032, to the Health Care Authority to contract with the Washington State Institute for Public Policy to conduct cost-benefit evaluations and produce reports;</w:t>
      </w:r>
    </w:p>
    <w:p>
      <w:pPr>
        <w:spacing w:before="0" w:after="0" w:line="408" w:lineRule="exact"/>
        <w:ind w:left="0" w:right="0" w:firstLine="576"/>
        <w:jc w:val="left"/>
      </w:pPr>
      <w:r>
        <w:rPr/>
        <w:t xml:space="preserve">(3) Directs $2,423,000 for fiscal year 2023, instead of a proposed $2,793,000 for fiscal year 2023, to the Washington State Patrol for a drug enforcement task force;</w:t>
      </w:r>
    </w:p>
    <w:p>
      <w:pPr>
        <w:spacing w:before="0" w:after="0" w:line="408" w:lineRule="exact"/>
        <w:ind w:left="0" w:right="0" w:firstLine="576"/>
        <w:jc w:val="left"/>
      </w:pPr>
      <w:r>
        <w:rPr/>
        <w:t xml:space="preserve">(4) Directs $290,000 for fiscal year 2023, instead of a proposed $464,000 for fiscal year 2023, to the Department of Ecology for implementation of accreditation of cannabis product testing laboratories;</w:t>
      </w:r>
    </w:p>
    <w:p>
      <w:pPr>
        <w:spacing w:before="0" w:after="0" w:line="408" w:lineRule="exact"/>
        <w:ind w:left="0" w:right="0" w:firstLine="576"/>
        <w:jc w:val="left"/>
      </w:pPr>
      <w:r>
        <w:rPr/>
        <w:t xml:space="preserve">(5) Directs 52 percent instead of 50 percent of secondary appropriations annually to the State Basic Health Plan Trust Account;</w:t>
      </w:r>
    </w:p>
    <w:p>
      <w:pPr>
        <w:spacing w:before="0" w:after="0" w:line="408" w:lineRule="exact"/>
        <w:ind w:left="0" w:right="0" w:firstLine="576"/>
        <w:jc w:val="left"/>
      </w:pPr>
      <w:r>
        <w:rPr/>
        <w:t xml:space="preserve">(6) Directs 11 percent instead of 10 percent of secondary appropriations annually to the Health Care Authority for purposes including designing and administering the Healthy Youth Survey, developing substance use disorder prevention programs among middle and high school-age students, and contracting with community health centers to provide primary health and dental care services, migrant health services, and maternity health care services;</w:t>
      </w:r>
    </w:p>
    <w:p>
      <w:pPr>
        <w:spacing w:before="0" w:after="0" w:line="408" w:lineRule="exact"/>
        <w:ind w:left="0" w:right="0" w:firstLine="576"/>
        <w:jc w:val="left"/>
      </w:pPr>
      <w:r>
        <w:rPr/>
        <w:t xml:space="preserve">(7) Directs 32 percent instead of 35 percent of secondary appropriations annually to the State General Fund; and</w:t>
      </w:r>
    </w:p>
    <w:p>
      <w:pPr>
        <w:spacing w:before="0" w:after="0" w:line="408" w:lineRule="exact"/>
        <w:ind w:left="0" w:right="0" w:firstLine="576"/>
        <w:jc w:val="left"/>
      </w:pPr>
      <w:r>
        <w:rPr/>
        <w:t xml:space="preserve">(8) Requires the Joint Legislative Audit and Review Committee to conduct a review of the appropriation and expenditure of cannabis revenues and report to the appropriate legislative committees by December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e749fd33e2448e" /></Relationships>
</file>