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42541536174efd" /></Relationships>
</file>

<file path=word/document.xml><?xml version="1.0" encoding="utf-8"?>
<w:document xmlns:w="http://schemas.openxmlformats.org/wordprocessingml/2006/main">
  <w:body>
    <w:p>
      <w:r>
        <w:rPr>
          <w:b/>
        </w:rPr>
        <w:r>
          <w:rPr/>
          <w:t xml:space="preserve">5245-S.E</w:t>
        </w:r>
      </w:r>
      <w:r>
        <w:rPr>
          <w:b/>
        </w:rPr>
        <w:t xml:space="preserve"> </w:t>
        <w:t xml:space="preserve">AMH</w:t>
      </w:r>
      <w:r>
        <w:rPr>
          <w:b/>
        </w:rPr>
        <w:t xml:space="preserve"> </w:t>
        <w:r>
          <w:rPr/>
          <w:t xml:space="preserve">PS</w:t>
        </w:r>
      </w:r>
      <w:r>
        <w:rPr>
          <w:b/>
        </w:rPr>
        <w:t xml:space="preserve"> </w:t>
        <w:r>
          <w:rPr/>
          <w:t xml:space="preserve">H2807.1</w:t>
        </w:r>
      </w:r>
      <w:r>
        <w:rPr>
          <w:b/>
        </w:rPr>
        <w:t xml:space="preserve"> - NOT FOR FLOOR USE</w:t>
      </w:r>
    </w:p>
    <w:p>
      <w:pPr>
        <w:ind w:left="0" w:right="0" w:firstLine="576"/>
      </w:pPr>
    </w:p>
    <w:p>
      <w:pPr>
        <w:spacing w:before="480" w:after="0" w:line="408" w:lineRule="exact"/>
      </w:pPr>
      <w:r>
        <w:rPr>
          <w:b/>
          <w:u w:val="single"/>
        </w:rPr>
        <w:t xml:space="preserve">ESSB 5245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03/01/2022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2021 c 215 s 160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7.105.450, 10.99.040, 10.99.050, 26.09.300, </w:t>
      </w:r>
      <w:r>
        <w:t>((</w:t>
      </w:r>
      <w:r>
        <w:rPr>
          <w:strike/>
        </w:rPr>
        <w:t xml:space="preserve">26.10.220,</w:t>
      </w:r>
      <w:r>
        <w:t>))</w:t>
      </w:r>
      <w:r>
        <w:rPr/>
        <w:t xml:space="preserve"> 26.26B.050, or 26.52.070, or any of the former RCW 26.50.110 and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7.105.450, 10.99.040, 10.99.050, 26.09.300, </w:t>
      </w:r>
      <w:r>
        <w:t>((</w:t>
      </w:r>
      <w:r>
        <w:rPr>
          <w:strike/>
        </w:rPr>
        <w:t xml:space="preserve">26.10.220,</w:t>
      </w:r>
      <w:r>
        <w:t>))</w:t>
      </w:r>
      <w:r>
        <w:rPr/>
        <w:t xml:space="preserve"> 26.26B.050, or 26.52.070, or any of the former RCW 26.50.110 and 74.34.145, </w:t>
      </w:r>
      <w:r>
        <w:t>((</w:t>
      </w:r>
      <w:r>
        <w:rPr>
          <w:strike/>
        </w:rPr>
        <w:t xml:space="preserve">or</w:t>
      </w:r>
      <w:r>
        <w:t>))</w:t>
      </w:r>
      <w:r>
        <w:rPr/>
        <w:t xml:space="preserve"> a felony harassment offense as defined by RCW 9A.46.060 or 9A.46.110</w:t>
      </w:r>
      <w:r>
        <w:rPr>
          <w:u w:val="single"/>
        </w:rPr>
        <w:t xml:space="preserve">,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7.105.450, 10.99.040, 10.99.050, 26.09.300, </w:t>
      </w:r>
      <w:r>
        <w:t>((</w:t>
      </w:r>
      <w:r>
        <w:rPr>
          <w:strike/>
        </w:rPr>
        <w:t xml:space="preserve">26.10.220,</w:t>
      </w:r>
      <w:r>
        <w:t>))</w:t>
      </w:r>
      <w:r>
        <w:rPr/>
        <w:t xml:space="preserve"> 26.26B.050, or 26.52.070, or any of the former RCW 26.50.110 and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Information and records prepared, owned, used, or retained by the Washington association of sheriffs and police chiefs revealing the existence of a notification, or of registration to be notified, regarding any specific individual, or the identity of or any information submitted by a person who registers to be notified of a person's custody or supervision status, upcoming hearing, case disposition, or service of a protection order pursuant to the statewide city and county jail booking and reporting system created in RCW 36.28A.040, the statewide automated victim information and notification system created in RCW 36.28A.040, or any other program used for the purposes of notifying individuals of a person's custody or supervision status, upcoming hearing, case disposition, or service of a protection order,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and records related to notification or registration for notification as described in section 2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provision stating that the Department of Corrections need not provide notice to witnesses and victims when a person is released due to a court order pursuant to felony resentencing proceedings.</w:t>
      </w:r>
    </w:p>
    <w:p>
      <w:pPr>
        <w:spacing w:before="0" w:after="0" w:line="408" w:lineRule="exact"/>
        <w:ind w:left="0" w:right="0" w:firstLine="576"/>
        <w:jc w:val="left"/>
      </w:pPr>
      <w:r>
        <w:rPr/>
        <w:t xml:space="preserve">(2) Creates an exemption from disclosure under the Public Records Act for specified information and records pertaining to notification and requests for notification regarding a person's custody or supervision status, upcoming hearing, case disposition, or service of a protection order.</w:t>
      </w:r>
    </w:p>
    <w:p>
      <w:pPr>
        <w:spacing w:before="0" w:after="0" w:line="408" w:lineRule="exact"/>
        <w:ind w:left="0" w:right="0" w:firstLine="576"/>
        <w:jc w:val="left"/>
      </w:pPr>
      <w:r>
        <w:rPr/>
        <w:t xml:space="preserve">(3) Provides an effective date of July 1, 2022.</w:t>
      </w:r>
    </w:p>
    <w:p>
      <w:pPr>
        <w:spacing w:before="0" w:after="0" w:line="408" w:lineRule="exact"/>
        <w:ind w:left="0" w:right="0" w:firstLine="576"/>
        <w:jc w:val="left"/>
      </w:pPr>
      <w:r>
        <w:rPr/>
        <w:t xml:space="preserve">(4) Makes a technical change to update an amendatory section to reflect changes made during the 2021 legislative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2583623244679" /></Relationships>
</file>