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4702a300b04025" /></Relationships>
</file>

<file path=word/document.xml><?xml version="1.0" encoding="utf-8"?>
<w:document xmlns:w="http://schemas.openxmlformats.org/wordprocessingml/2006/main">
  <w:body>
    <w:p>
      <w:r>
        <w:rPr>
          <w:b/>
        </w:rPr>
        <w:r>
          <w:rPr/>
          <w:t xml:space="preserve">5202.E</w:t>
        </w:r>
      </w:r>
      <w:r>
        <w:rPr>
          <w:b/>
        </w:rPr>
        <w:t xml:space="preserve"> </w:t>
        <w:t xml:space="preserve">AMH</w:t>
      </w:r>
      <w:r>
        <w:rPr>
          <w:b/>
        </w:rPr>
        <w:t xml:space="preserve"> </w:t>
        <w:r>
          <w:rPr/>
          <w:t xml:space="preserve">ED</w:t>
        </w:r>
      </w:r>
      <w:r>
        <w:rPr>
          <w:b/>
        </w:rPr>
        <w:t xml:space="preserve"> </w:t>
        <w:r>
          <w:rPr/>
          <w:t xml:space="preserve">H2865.1</w:t>
        </w:r>
      </w:r>
      <w:r>
        <w:rPr>
          <w:b/>
        </w:rPr>
        <w:t xml:space="preserve"> - NOT FOR FLOOR USE</w:t>
      </w:r>
    </w:p>
    <w:p>
      <w:pPr>
        <w:ind w:left="0" w:right="0" w:firstLine="576"/>
      </w:pPr>
    </w:p>
    <w:p>
      <w:pPr>
        <w:spacing w:before="480" w:after="0" w:line="408" w:lineRule="exact"/>
      </w:pPr>
      <w:r>
        <w:rPr>
          <w:b/>
          <w:u w:val="single"/>
        </w:rPr>
        <w:t xml:space="preserve">ESB 5202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2021 c 332 s 7045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(e) A depreciation subfund of its general fund for the school district to reserve moneys for future facility and equipment needs, including preventative maintenance and emergency facility needs. Up to two percent of a school district's general fund may be deposited each fiscal year into the depreciation subfund. The preventative maintenance must be necessary to realize the originally anticipated useful life of a building or facility and includes: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school district real property. School districts, subject to applicable public works bid limits, may use school district employees to perform preventative maintenance with moneys from the depreciation subfund, but moneys from the depreciation subfund may not be used for employee compensation that is unrelated to this subsection (1)(e).</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2021-2023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Allows school districts, subject to applicable public works bid limits, to use district employees to perform preventative maintenance with moneys from the depreciation subfund, but specifies that moneys from the subfund may not be used for employee compensation that is unrelated to the subfund authorizations.</w:t>
      </w:r>
    </w:p>
    <w:p>
      <w:pPr>
        <w:spacing w:before="0" w:after="0" w:line="408" w:lineRule="exact"/>
        <w:ind w:left="0" w:right="0" w:firstLine="576"/>
        <w:jc w:val="left"/>
      </w:pPr>
      <w:r>
        <w:rPr/>
        <w:t xml:space="preserve">(2) Makes technical changes by: (a) Specifying that a depreciation subfund would be a subfund of a school district's general fund; (b) changing a reference from "funds" to "moneys"; (c) combining language that delineates the purposes for the subfund; (d) changing a reference from "district" real property to "school district" real property; and (e) making a grammar change.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3521c903d42f9" /></Relationships>
</file>