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3bd33f15294814" /></Relationships>
</file>

<file path=word/document.xml><?xml version="1.0" encoding="utf-8"?>
<w:document xmlns:w="http://schemas.openxmlformats.org/wordprocessingml/2006/main">
  <w:body>
    <w:p>
      <w:r>
        <w:rPr>
          <w:b/>
        </w:rPr>
        <w:r>
          <w:rPr/>
          <w:t xml:space="preserve">5118-S.E</w:t>
        </w:r>
      </w:r>
      <w:r>
        <w:rPr>
          <w:b/>
        </w:rPr>
        <w:t xml:space="preserve"> </w:t>
        <w:t xml:space="preserve">AMH</w:t>
      </w:r>
      <w:r>
        <w:rPr>
          <w:b/>
        </w:rPr>
        <w:t xml:space="preserve"> </w:t>
        <w:r>
          <w:rPr/>
          <w:t xml:space="preserve">CYF</w:t>
        </w:r>
      </w:r>
      <w:r>
        <w:rPr>
          <w:b/>
        </w:rPr>
        <w:t xml:space="preserve"> </w:t>
        <w:r>
          <w:rPr/>
          <w:t xml:space="preserve">H1308.1</w:t>
        </w:r>
      </w:r>
      <w:r>
        <w:rPr>
          <w:b/>
        </w:rPr>
        <w:t xml:space="preserve"> - NOT FOR FLOOR USE</w:t>
      </w:r>
    </w:p>
    <w:p>
      <w:pPr>
        <w:ind w:left="0" w:right="0" w:firstLine="576"/>
      </w:pPr>
    </w:p>
    <w:p>
      <w:pPr>
        <w:spacing w:before="480" w:after="0" w:line="408" w:lineRule="exact"/>
      </w:pPr>
      <w:r>
        <w:rPr>
          <w:b/>
          <w:u w:val="single"/>
        </w:rPr>
        <w:t xml:space="preserve">ESSB 5118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Children, Youth &amp; Families</w:t>
      </w:r>
    </w:p>
    <w:p>
      <w:pPr>
        <w:jc w:val="right"/>
      </w:pPr>
      <w:r>
        <w:rPr>
          <w:b/>
        </w:rPr>
        <w:t xml:space="preserve">ADOPTED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98</w:t>
      </w:r>
      <w:r>
        <w:rPr/>
        <w:t xml:space="preserve">.</w:t>
      </w:r>
      <w:r>
        <w:t xml:space="preserve">010</w:t>
      </w:r>
      <w:r>
        <w:rPr/>
        <w:t xml:space="preserve"> and 2011 c 336 s 345 are each amended to read as follows:</w:t>
      </w:r>
    </w:p>
    <w:p>
      <w:pPr>
        <w:spacing w:before="0" w:after="0" w:line="408" w:lineRule="exact"/>
        <w:ind w:left="0" w:right="0" w:firstLine="576"/>
        <w:jc w:val="left"/>
      </w:pPr>
      <w:r>
        <w:rPr/>
        <w:t xml:space="preserve">(1) Whenever a person has entered upon a term of imprisonment in a penal </w:t>
      </w:r>
      <w:r>
        <w:t>((</w:t>
      </w:r>
      <w:r>
        <w:rPr>
          <w:strike/>
        </w:rPr>
        <w:t xml:space="preserve">or</w:t>
      </w:r>
      <w:r>
        <w:t>))</w:t>
      </w:r>
      <w:r>
        <w:rPr>
          <w:u w:val="single"/>
        </w:rPr>
        <w:t xml:space="preserve">,</w:t>
      </w:r>
      <w:r>
        <w:rPr/>
        <w:t xml:space="preserve"> correctional</w:t>
      </w:r>
      <w:r>
        <w:rPr>
          <w:u w:val="single"/>
        </w:rPr>
        <w:t xml:space="preserve">, or juvenile rehabilitation</w:t>
      </w:r>
      <w:r>
        <w:rPr/>
        <w:t xml:space="preserve"> institution of this state, and whenever during the continuance of the term of imprisonment there is pending in this state any untried indictment, information, or complaint against the </w:t>
      </w:r>
      <w:r>
        <w:t>((</w:t>
      </w:r>
      <w:r>
        <w:rPr>
          <w:strike/>
        </w:rPr>
        <w:t xml:space="preserve">prisoner</w:t>
      </w:r>
      <w:r>
        <w:t>))</w:t>
      </w:r>
      <w:r>
        <w:rPr/>
        <w:t xml:space="preserve"> </w:t>
      </w:r>
      <w:r>
        <w:rPr>
          <w:u w:val="single"/>
        </w:rPr>
        <w:t xml:space="preserve">person</w:t>
      </w:r>
      <w:r>
        <w:rPr/>
        <w:t xml:space="preserve">, he or she shall be brought to trial within </w:t>
      </w:r>
      <w:r>
        <w:t>((</w:t>
      </w:r>
      <w:r>
        <w:rPr>
          <w:strike/>
        </w:rPr>
        <w:t xml:space="preserve">one hundred twenty</w:t>
      </w:r>
      <w:r>
        <w:t>))</w:t>
      </w:r>
      <w:r>
        <w:rPr/>
        <w:t xml:space="preserve"> </w:t>
      </w:r>
      <w:r>
        <w:rPr>
          <w:u w:val="single"/>
        </w:rPr>
        <w:t xml:space="preserve">120</w:t>
      </w:r>
      <w:r>
        <w:rPr/>
        <w:t xml:space="preserve"> days after he or she shall have caused to be delivered to the prosecuting attorney and the </w:t>
      </w:r>
      <w:r>
        <w:t>((</w:t>
      </w:r>
      <w:r>
        <w:rPr>
          <w:strike/>
        </w:rPr>
        <w:t xml:space="preserve">superior</w:t>
      </w:r>
      <w:r>
        <w:t>))</w:t>
      </w:r>
      <w:r>
        <w:rPr/>
        <w:t xml:space="preserve"> court </w:t>
      </w:r>
      <w:r>
        <w:t>((</w:t>
      </w:r>
      <w:r>
        <w:rPr>
          <w:strike/>
        </w:rPr>
        <w:t xml:space="preserve">of the county</w:t>
      </w:r>
      <w:r>
        <w:t>))</w:t>
      </w:r>
      <w:r>
        <w:rPr/>
        <w:t xml:space="preserve"> in which the indictment, information, or complaint is pending written notice of the place of his or her imprisonment and his or her request for a final disposition to be made of the indictment, information, or complaint</w:t>
      </w:r>
      <w:r>
        <w:t>((</w:t>
      </w:r>
      <w:r>
        <w:rPr>
          <w:strike/>
        </w:rPr>
        <w:t xml:space="preserve">: PROVIDED, That for</w:t>
      </w:r>
      <w:r>
        <w:t>))</w:t>
      </w:r>
      <w:r>
        <w:rPr>
          <w:u w:val="single"/>
        </w:rPr>
        <w:t xml:space="preserve">. The following time periods shall be excluded from the 120-day calculation:</w:t>
      </w:r>
    </w:p>
    <w:p>
      <w:pPr>
        <w:spacing w:before="0" w:after="0" w:line="408" w:lineRule="exact"/>
        <w:ind w:left="0" w:right="0" w:firstLine="576"/>
        <w:jc w:val="left"/>
      </w:pPr>
      <w:r>
        <w:rPr>
          <w:u w:val="single"/>
        </w:rPr>
        <w:t xml:space="preserve">(a) Arraignment, pretrial proceedings, trial, and sentencing on an unrelated charge in a different county than the court where the charge is pending;</w:t>
      </w:r>
    </w:p>
    <w:p>
      <w:pPr>
        <w:spacing w:before="0" w:after="0" w:line="408" w:lineRule="exact"/>
        <w:ind w:left="0" w:right="0" w:firstLine="576"/>
        <w:jc w:val="left"/>
      </w:pPr>
      <w:r>
        <w:rPr>
          <w:u w:val="single"/>
        </w:rPr>
        <w:t xml:space="preserve">(b) Proceedings related to competency to stand trial on the pending charge, from the entry of an evaluation order to the entry of a court order finding the person competent to proceed; and</w:t>
      </w:r>
    </w:p>
    <w:p>
      <w:pPr>
        <w:spacing w:before="0" w:after="0" w:line="408" w:lineRule="exact"/>
        <w:ind w:left="0" w:right="0" w:firstLine="576"/>
        <w:jc w:val="left"/>
      </w:pPr>
      <w:r>
        <w:rPr>
          <w:u w:val="single"/>
        </w:rPr>
        <w:t xml:space="preserve">(c) Time during which the person is detained in a federal jail or prison and subject to conditions of release not imposed by the state of Washington.</w:t>
      </w:r>
    </w:p>
    <w:p>
      <w:pPr>
        <w:spacing w:before="0" w:after="0" w:line="408" w:lineRule="exact"/>
        <w:ind w:left="0" w:right="0" w:firstLine="576"/>
        <w:jc w:val="left"/>
      </w:pPr>
      <w:r>
        <w:rPr>
          <w:u w:val="single"/>
        </w:rPr>
        <w:t xml:space="preserve">(2) The superintendent or the superintendent's designee who provides the certificate under subsection (4) of this section shall inform any prosecuting attorney or court requesting transportation of the person to resolve an untried indictment, information, or complaint of the person's current location and availability for trial. If the person is unavailable for transportation due to court proceedings in another county, the superintendent shall inform the prosecuting attorney or court when the person becomes available for transportation and provide a new certificate containing the information under subsection (4) of this section.</w:t>
      </w:r>
    </w:p>
    <w:p>
      <w:pPr>
        <w:spacing w:before="0" w:after="0" w:line="408" w:lineRule="exact"/>
        <w:ind w:left="0" w:right="0" w:firstLine="576"/>
        <w:jc w:val="left"/>
      </w:pPr>
      <w:r>
        <w:rPr>
          <w:u w:val="single"/>
        </w:rPr>
        <w:t xml:space="preserve">(3) For</w:t>
      </w:r>
      <w:r>
        <w:rPr/>
        <w:t xml:space="preserve"> good cause shown in open court, </w:t>
      </w:r>
      <w:r>
        <w:rPr>
          <w:u w:val="single"/>
        </w:rPr>
        <w:t xml:space="preserve">with</w:t>
      </w:r>
      <w:r>
        <w:rPr/>
        <w:t xml:space="preserve"> the </w:t>
      </w:r>
      <w:r>
        <w:t>((</w:t>
      </w:r>
      <w:r>
        <w:rPr>
          <w:strike/>
        </w:rPr>
        <w:t xml:space="preserve">prisoner</w:t>
      </w:r>
      <w:r>
        <w:t>))</w:t>
      </w:r>
      <w:r>
        <w:rPr/>
        <w:t xml:space="preserve"> </w:t>
      </w:r>
      <w:r>
        <w:rPr>
          <w:u w:val="single"/>
        </w:rPr>
        <w:t xml:space="preserve">person</w:t>
      </w:r>
      <w:r>
        <w:rPr/>
        <w:t xml:space="preserve"> or his or her counsel </w:t>
      </w:r>
      <w:r>
        <w:t>((</w:t>
      </w:r>
      <w:r>
        <w:rPr>
          <w:strike/>
        </w:rPr>
        <w:t xml:space="preserve">shall have</w:t>
      </w:r>
      <w:r>
        <w:t>))</w:t>
      </w:r>
      <w:r>
        <w:rPr/>
        <w:t xml:space="preserve"> </w:t>
      </w:r>
      <w:r>
        <w:rPr>
          <w:u w:val="single"/>
        </w:rPr>
        <w:t xml:space="preserve">having</w:t>
      </w:r>
      <w:r>
        <w:rPr/>
        <w:t xml:space="preserve"> the right to be present, the court having jurisdiction of the matter may grant any necessary or reasonable continuance.</w:t>
      </w:r>
    </w:p>
    <w:p>
      <w:pPr>
        <w:spacing w:before="0" w:after="0" w:line="408" w:lineRule="exact"/>
        <w:ind w:left="0" w:right="0" w:firstLine="576"/>
        <w:jc w:val="left"/>
      </w:pPr>
      <w:r>
        <w:rPr>
          <w:u w:val="single"/>
        </w:rPr>
        <w:t xml:space="preserve">(4)</w:t>
      </w:r>
      <w:r>
        <w:rPr/>
        <w:t xml:space="preserve"> The request of the </w:t>
      </w:r>
      <w:r>
        <w:t>((</w:t>
      </w:r>
      <w:r>
        <w:rPr>
          <w:strike/>
        </w:rPr>
        <w:t xml:space="preserve">prisoner</w:t>
      </w:r>
      <w:r>
        <w:t>))</w:t>
      </w:r>
      <w:r>
        <w:rPr/>
        <w:t xml:space="preserve"> </w:t>
      </w:r>
      <w:r>
        <w:rPr>
          <w:u w:val="single"/>
        </w:rPr>
        <w:t xml:space="preserve">person</w:t>
      </w:r>
      <w:r>
        <w:rPr/>
        <w:t xml:space="preserve"> shall be accompanied by a certificate of the superintendent </w:t>
      </w:r>
      <w:r>
        <w:rPr>
          <w:u w:val="single"/>
        </w:rPr>
        <w:t xml:space="preserve">or the superintendent's designee</w:t>
      </w:r>
      <w:r>
        <w:rPr/>
        <w:t xml:space="preserve"> having custody of the </w:t>
      </w:r>
      <w:r>
        <w:t>((</w:t>
      </w:r>
      <w:r>
        <w:rPr>
          <w:strike/>
        </w:rPr>
        <w:t xml:space="preserve">prisoner</w:t>
      </w:r>
      <w:r>
        <w:t>))</w:t>
      </w:r>
      <w:r>
        <w:rPr/>
        <w:t xml:space="preserve"> </w:t>
      </w:r>
      <w:r>
        <w:rPr>
          <w:u w:val="single"/>
        </w:rPr>
        <w:t xml:space="preserve">person</w:t>
      </w:r>
      <w:r>
        <w:rPr/>
        <w:t xml:space="preserve">, stating the term of commitment under which the </w:t>
      </w:r>
      <w:r>
        <w:t>((</w:t>
      </w:r>
      <w:r>
        <w:rPr>
          <w:strike/>
        </w:rPr>
        <w:t xml:space="preserve">prisoner</w:t>
      </w:r>
      <w:r>
        <w:t>))</w:t>
      </w:r>
      <w:r>
        <w:rPr/>
        <w:t xml:space="preserve"> </w:t>
      </w:r>
      <w:r>
        <w:rPr>
          <w:u w:val="single"/>
        </w:rPr>
        <w:t xml:space="preserve">person</w:t>
      </w:r>
      <w:r>
        <w:rPr/>
        <w:t xml:space="preserve"> is being held, the time already served, the time remaining to be served on the sentence, the amount of good time earned, the </w:t>
      </w:r>
      <w:r>
        <w:t>((</w:t>
      </w:r>
      <w:r>
        <w:rPr>
          <w:strike/>
        </w:rPr>
        <w:t xml:space="preserve">time of parole eligibility</w:t>
      </w:r>
      <w:r>
        <w:t>))</w:t>
      </w:r>
      <w:r>
        <w:rPr/>
        <w:t xml:space="preserve"> </w:t>
      </w:r>
      <w:r>
        <w:rPr>
          <w:u w:val="single"/>
        </w:rPr>
        <w:t xml:space="preserve">earned release date</w:t>
      </w:r>
      <w:r>
        <w:rPr/>
        <w:t xml:space="preserve"> of the </w:t>
      </w:r>
      <w:r>
        <w:t>((</w:t>
      </w:r>
      <w:r>
        <w:rPr>
          <w:strike/>
        </w:rPr>
        <w:t xml:space="preserve">prisoner</w:t>
      </w:r>
      <w:r>
        <w:t>))</w:t>
      </w:r>
      <w:r>
        <w:rPr/>
        <w:t xml:space="preserve"> </w:t>
      </w:r>
      <w:r>
        <w:rPr>
          <w:u w:val="single"/>
        </w:rPr>
        <w:t xml:space="preserve">person</w:t>
      </w:r>
      <w:r>
        <w:rPr/>
        <w:t xml:space="preserve">, and any decisions of the indeterminate sentence review board relating to the </w:t>
      </w:r>
      <w:r>
        <w:t>((</w:t>
      </w:r>
      <w:r>
        <w:rPr>
          <w:strike/>
        </w:rPr>
        <w:t xml:space="preserve">prisoner</w:t>
      </w:r>
      <w:r>
        <w:t>))</w:t>
      </w:r>
      <w:r>
        <w:rPr/>
        <w:t xml:space="preserve"> </w:t>
      </w:r>
      <w:r>
        <w:rPr>
          <w:u w:val="single"/>
        </w:rPr>
        <w:t xml:space="preserve">person</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The written notice and request for final disposition referred to in subsection (1) of this section shall be given or sent by the </w:t>
      </w:r>
      <w:r>
        <w:t>((</w:t>
      </w:r>
      <w:r>
        <w:rPr>
          <w:strike/>
        </w:rPr>
        <w:t xml:space="preserve">prisoner</w:t>
      </w:r>
      <w:r>
        <w:t>))</w:t>
      </w:r>
      <w:r>
        <w:rPr/>
        <w:t xml:space="preserve"> </w:t>
      </w:r>
      <w:r>
        <w:rPr>
          <w:u w:val="single"/>
        </w:rPr>
        <w:t xml:space="preserve">person</w:t>
      </w:r>
      <w:r>
        <w:rPr/>
        <w:t xml:space="preserve"> to the superintendent </w:t>
      </w:r>
      <w:r>
        <w:rPr>
          <w:u w:val="single"/>
        </w:rPr>
        <w:t xml:space="preserve">or the superintendent's designee</w:t>
      </w:r>
      <w:r>
        <w:rPr/>
        <w:t xml:space="preserve"> having custody of him or her, who shall promptly forward it together with the certificate to the appropriate prosecuting attorney and superior</w:t>
      </w:r>
      <w:r>
        <w:rPr>
          <w:u w:val="single"/>
        </w:rPr>
        <w:t xml:space="preserve">, district, municipal, or juvenile</w:t>
      </w:r>
      <w:r>
        <w:rPr/>
        <w:t xml:space="preserve"> court by certified mail, return receipt requested.</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The superintendent </w:t>
      </w:r>
      <w:r>
        <w:rPr>
          <w:u w:val="single"/>
        </w:rPr>
        <w:t xml:space="preserve">or the superintendent's designee</w:t>
      </w:r>
      <w:r>
        <w:rPr/>
        <w:t xml:space="preserve"> having custody of the </w:t>
      </w:r>
      <w:r>
        <w:t>((</w:t>
      </w:r>
      <w:r>
        <w:rPr>
          <w:strike/>
        </w:rPr>
        <w:t xml:space="preserve">prisoner</w:t>
      </w:r>
      <w:r>
        <w:t>))</w:t>
      </w:r>
      <w:r>
        <w:rPr/>
        <w:t xml:space="preserve"> </w:t>
      </w:r>
      <w:r>
        <w:rPr>
          <w:u w:val="single"/>
        </w:rPr>
        <w:t xml:space="preserve">person</w:t>
      </w:r>
      <w:r>
        <w:rPr/>
        <w:t xml:space="preserve"> shall promptly inform him or her in writing of the source and contents of any untried indictment, information, or complaint against him or her concerning which the superintendent </w:t>
      </w:r>
      <w:r>
        <w:rPr>
          <w:u w:val="single"/>
        </w:rPr>
        <w:t xml:space="preserve">or the superintendent's designee</w:t>
      </w:r>
      <w:r>
        <w:rPr/>
        <w:t xml:space="preserve"> has knowledge and of his or her right to make a request for final disposition thereof.</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Escape from custody by the </w:t>
      </w:r>
      <w:r>
        <w:t>((</w:t>
      </w:r>
      <w:r>
        <w:rPr>
          <w:strike/>
        </w:rPr>
        <w:t xml:space="preserve">prisoner</w:t>
      </w:r>
      <w:r>
        <w:t>))</w:t>
      </w:r>
      <w:r>
        <w:rPr/>
        <w:t xml:space="preserve"> </w:t>
      </w:r>
      <w:r>
        <w:rPr>
          <w:u w:val="single"/>
        </w:rPr>
        <w:t xml:space="preserve">person</w:t>
      </w:r>
      <w:r>
        <w:rPr/>
        <w:t xml:space="preserve"> subsequent to his or her execution of the request for final disposition referred to in subsection (1) of this section shall void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2020 c 128 s 1 and 2020 c 20 s 1027 are each reenacted and amended to read as follows:</w:t>
      </w:r>
    </w:p>
    <w:p>
      <w:pPr>
        <w:spacing w:before="0" w:after="0" w:line="408" w:lineRule="exact"/>
        <w:ind w:left="0" w:right="0" w:firstLine="576"/>
        <w:jc w:val="left"/>
      </w:pPr>
      <w:r>
        <w:rPr/>
        <w:t xml:space="preserve">(1)(a)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and inpatient facilities including substance abuse facilities, mental health facilities, group homes, </w:t>
      </w:r>
      <w:r>
        <w:rPr>
          <w:u w:val="single"/>
        </w:rPr>
        <w:t xml:space="preserve">community facilities as defined in RCW 72.05.020,</w:t>
      </w:r>
      <w:r>
        <w:rPr/>
        <w:t xml:space="preserve"> and secure community transition facilities as defined in RCW 71.09.020.</w:t>
      </w:r>
    </w:p>
    <w:p>
      <w:pPr>
        <w:spacing w:before="0" w:after="0" w:line="408" w:lineRule="exact"/>
        <w:ind w:left="0" w:right="0" w:firstLine="576"/>
        <w:jc w:val="left"/>
      </w:pPr>
      <w:r>
        <w:rPr/>
        <w:t xml:space="preserve">(b) Unless a facility is expressly listed in (a) of this subsection, essential public facilities do not include facilities that are operated by a private entity in which persons are detained in custody under process of law pending the outcome of legal proceedings but are not used for punishment, correction, counseling, or rehabilitation following the conviction of a criminal offense. Facilities included under this subsection (1)(b) shall not include facilities detaining persons under RCW 71.09.020 (6) or (15) or chapter 10.77 or 71.05 RCW.</w:t>
      </w:r>
    </w:p>
    <w:p>
      <w:pPr>
        <w:spacing w:before="0" w:after="0" w:line="408" w:lineRule="exact"/>
        <w:ind w:left="0" w:right="0" w:firstLine="576"/>
        <w:jc w:val="left"/>
      </w:pPr>
      <w:r>
        <w:rPr>
          <w:u w:val="single"/>
        </w:rPr>
        <w:t xml:space="preserve">(c) The department of children, youth, and families may not attempt to site new community facilities as defined in RCW 72.05.020 east of the crest of the Cascade mountain range unless there is an equal or greater number of sited community facilities as defined in RCW 72.05.020 on the western side of the crest of the Cascade mountain range.</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RCW 42.17A.005,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70A.135.070;</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At least 30 days before release from a residential facility, the secretary shall send written notice of the planned release to the person's health care insurance provider. The notice shall include the person's current location and contact information as well as the person's expected location and contact information upon release. The notice shall not disclose the person's incarceration status unless their consent is given.</w:t>
      </w:r>
    </w:p>
    <w:p>
      <w:pPr>
        <w:spacing w:before="0" w:after="0" w:line="408" w:lineRule="exact"/>
        <w:ind w:left="0" w:right="0" w:firstLine="576"/>
        <w:jc w:val="left"/>
      </w:pPr>
      <w:r>
        <w:rPr/>
        <w:t xml:space="preserve">(2) If the person is not enrolled in a health insurance program, the secretary and the health care authority shall assist the person in obtaining coverage for which they are eligible in accordance with the time frames specified in subsection (1) of this section.</w:t>
      </w:r>
    </w:p>
    <w:p>
      <w:pPr>
        <w:spacing w:before="0" w:after="0" w:line="408" w:lineRule="exact"/>
        <w:ind w:left="0" w:right="0" w:firstLine="576"/>
        <w:jc w:val="left"/>
      </w:pPr>
      <w:r>
        <w:rPr/>
        <w:t xml:space="preserve">(3) The secretary may share with the health insurance provider additional health information related to the person to assist with care coordination and continuity of care consistent with RCW 70.02.230(2)(u) and other provisions of chapter 70.02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the Department of Children, Youth, and Families (instead of the Department of Commerce) may not attempt to site new community facilities in Eastern Washington unless there is an equal or greater number in Western Washington and makes the references to community facilities consistent with other references used in this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6cf91176764b7b" /></Relationships>
</file>