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78c756504aa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RAMO</w:t>
        </w:r>
      </w:r>
      <w:r>
        <w:rPr>
          <w:b/>
        </w:rPr>
        <w:t xml:space="preserve"> </w:t>
        <w:r>
          <w:rPr/>
          <w:t xml:space="preserve">H1592.1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5096</w:t>
      </w:r>
      <w:r>
        <w:t xml:space="preserve"> -</w:t>
      </w:r>
      <w:r>
        <w:t xml:space="preserve"> </w:t>
        <w:t xml:space="preserve">H AMD TO FIN COMM AMD (H-1547.5/21)</w:t>
      </w:r>
      <w:r>
        <w:t xml:space="preserve"> </w:t>
      </w:r>
      <w:r>
        <w:rPr>
          <w:b/>
        </w:rPr>
        <w:t xml:space="preserve">738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Ramos</w:t>
      </w:r>
    </w:p>
    <w:p>
      <w:pPr>
        <w:jc w:val="right"/>
      </w:pPr>
      <w:r>
        <w:rPr>
          <w:b/>
        </w:rPr>
        <w:t xml:space="preserve">ADOPTED 04/20/2021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26, after "of the" strike "eight" and insert "10"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lookback period to count the five years to determine if the taxpayer meets the material participation requirements for the qualified family-owned small business deduction.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a15245e3e430f" /></Relationships>
</file>