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51616979ca4048" /></Relationships>
</file>

<file path=word/document.xml><?xml version="1.0" encoding="utf-8"?>
<w:document xmlns:w="http://schemas.openxmlformats.org/wordprocessingml/2006/main">
  <w:body>
    <w:p>
      <w:r>
        <w:rPr>
          <w:b/>
        </w:rPr>
        <w:r>
          <w:rPr/>
          <w:t xml:space="preserve">5004-S.E</w:t>
        </w:r>
      </w:r>
      <w:r>
        <w:rPr>
          <w:b/>
        </w:rPr>
        <w:t xml:space="preserve"> </w:t>
        <w:t xml:space="preserve">AMH</w:t>
      </w:r>
      <w:r>
        <w:rPr>
          <w:b/>
        </w:rPr>
        <w:t xml:space="preserve"> </w:t>
        <w:r>
          <w:rPr/>
          <w:t xml:space="preserve">FIN</w:t>
        </w:r>
      </w:r>
      <w:r>
        <w:rPr>
          <w:b/>
        </w:rPr>
        <w:t xml:space="preserve"> </w:t>
        <w:r>
          <w:rPr/>
          <w:t xml:space="preserve">H2856.1</w:t>
        </w:r>
      </w:r>
      <w:r>
        <w:rPr>
          <w:b/>
        </w:rPr>
        <w:t xml:space="preserve"> - NOT FOR FLOOR USE</w:t>
      </w:r>
    </w:p>
    <w:p>
      <w:pPr>
        <w:ind w:left="0" w:right="0" w:firstLine="576"/>
      </w:pPr>
    </w:p>
    <w:p>
      <w:pPr>
        <w:spacing w:before="480" w:after="0" w:line="408" w:lineRule="exact"/>
      </w:pPr>
      <w:r>
        <w:rPr>
          <w:b/>
          <w:u w:val="single"/>
        </w:rPr>
        <w:t xml:space="preserve">ESSB 5004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thirty-seven percent of the selling price on each retail sale in this state of marijuana concentrates, useable marijuana, and marijuana-infused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w:t>
      </w:r>
      <w:r>
        <w:rPr>
          <w:u w:val="single"/>
        </w:rPr>
        <w:t xml:space="preserve">(a) Until January 1, 2027, the tax levied by subsection (1) of this section does not apply to sales, by a marijuana retailer with a medical marijuana endorsement to qualifying patients or designated providers who have been issued a recognition card, of marijuana concentrates, useable marijuana, or marijuana-infused products, identified by the department in rules adopted under RCW 69.50.375(4) in chapter 246-70 WAC as being compliant marijuana products</w:t>
      </w:r>
      <w:r>
        <w:rPr>
          <w:u w:val="single"/>
        </w:rPr>
        <w:t xml:space="preserve">.</w:t>
      </w:r>
    </w:p>
    <w:p>
      <w:pPr>
        <w:spacing w:before="0" w:after="0" w:line="408" w:lineRule="exact"/>
        <w:ind w:left="0" w:right="0" w:firstLine="576"/>
        <w:jc w:val="left"/>
      </w:pPr>
      <w:r>
        <w:rPr>
          <w:u w:val="single"/>
        </w:rPr>
        <w:t xml:space="preserve">(b) Each seller making exempt sales under this subsection (2) must maintain information establishing eligibility for the exemption in the form and manner required by the board.</w:t>
      </w:r>
    </w:p>
    <w:p>
      <w:pPr>
        <w:spacing w:before="0" w:after="0" w:line="408" w:lineRule="exact"/>
        <w:ind w:left="0" w:right="0" w:firstLine="576"/>
        <w:jc w:val="left"/>
      </w:pPr>
      <w:r>
        <w:rPr>
          <w:u w:val="single"/>
        </w:rPr>
        <w:t xml:space="preserve">(c) The board must provide a separate tax reporting line on the excise tax form for exemption amounts claimed under this subsection (2).</w:t>
      </w:r>
    </w:p>
    <w:p>
      <w:pPr>
        <w:spacing w:before="0" w:after="0" w:line="408" w:lineRule="exact"/>
        <w:ind w:left="0" w:right="0" w:firstLine="576"/>
        <w:jc w:val="left"/>
      </w:pPr>
      <w:r>
        <w:rPr>
          <w:u w:val="single"/>
        </w:rPr>
        <w:t xml:space="preserve">(d) To assist with the review required in section 2 of this act, the board must consult with the joint legislative audit and review committee to determine if there is additional information on sales that sellers must report to the board beginning January 1, 2023.</w:t>
      </w:r>
    </w:p>
    <w:p>
      <w:pPr>
        <w:spacing w:before="0" w:after="0" w:line="408" w:lineRule="exact"/>
        <w:ind w:left="0" w:right="0" w:firstLine="576"/>
        <w:jc w:val="left"/>
      </w:pPr>
      <w:r>
        <w:rPr>
          <w:u w:val="single"/>
        </w:rPr>
        <w:t xml:space="preserve">(3)</w:t>
      </w:r>
      <w:r>
        <w:rPr/>
        <w:t xml:space="preserve"> All revenues collected from the marijuana excise tax imposed under this section must be deposited each day in the dedicated marijuana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"Retail sale" has the same meaning as in RCW 82.08.010.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"Product" means marijuana, marijuana concentrates, useable marijuana, and marijuana-infused products.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the tax exemption under section 1 of this act to identify any changes in consumer behavior and determine whether the exemption results in an unanticipated decrease in state revenue. The review must include:</w:t>
      </w:r>
    </w:p>
    <w:p>
      <w:pPr>
        <w:spacing w:before="0" w:after="0" w:line="408" w:lineRule="exact"/>
        <w:ind w:left="0" w:right="0" w:firstLine="576"/>
        <w:jc w:val="left"/>
      </w:pPr>
      <w:r>
        <w:rPr/>
        <w:t xml:space="preserve">(a) An assessment of the amount of new qualifying patients or designated providers under RCW 69.51A.010 occurring after the effective date of this section as compared to prior years;</w:t>
      </w:r>
    </w:p>
    <w:p>
      <w:pPr>
        <w:spacing w:before="0" w:after="0" w:line="408" w:lineRule="exact"/>
        <w:ind w:left="0" w:right="0" w:firstLine="576"/>
        <w:jc w:val="left"/>
      </w:pPr>
      <w:r>
        <w:rPr/>
        <w:t xml:space="preserve">(b) Any changes in the amount of sales of tax-exempt products identified in section 1 of this act; and</w:t>
      </w:r>
    </w:p>
    <w:p>
      <w:pPr>
        <w:spacing w:before="0" w:after="0" w:line="408" w:lineRule="exact"/>
        <w:ind w:left="0" w:right="0" w:firstLine="576"/>
        <w:jc w:val="left"/>
      </w:pPr>
      <w:r>
        <w:rPr/>
        <w:t xml:space="preserve">(c) Any other information the joint legislative audit and review committee deems necessary to assess any changes in consumer behavior or revenue collections resulting from the tax exemption under section 1 of this act.</w:t>
      </w:r>
    </w:p>
    <w:p>
      <w:pPr>
        <w:spacing w:before="0" w:after="0" w:line="408" w:lineRule="exact"/>
        <w:ind w:left="0" w:right="0" w:firstLine="576"/>
        <w:jc w:val="left"/>
      </w:pPr>
      <w:r>
        <w:rPr/>
        <w:t xml:space="preserve">(2) The joint legislative audit and review committee may access data from the department of revenue, the department of health, or any other state agency as necessary to complete its review of the tax exemption under section 1 of this act.</w:t>
      </w:r>
    </w:p>
    <w:p>
      <w:pPr>
        <w:spacing w:before="0" w:after="0" w:line="408" w:lineRule="exact"/>
        <w:ind w:left="0" w:right="0" w:firstLine="576"/>
        <w:jc w:val="left"/>
      </w:pPr>
      <w:r>
        <w:rPr/>
        <w:t xml:space="preserve">(3) The joint legislative audit and review committee must submit a report of its findings to the legislature by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LCB to consult with JLARC on relevant reporting information needed for JLARC review.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0a04aeb3524dd3" /></Relationships>
</file>