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7e9636626e4483a" /></Relationships>
</file>

<file path=word/document.xml><?xml version="1.0" encoding="utf-8"?>
<w:document xmlns:w="http://schemas.openxmlformats.org/wordprocessingml/2006/main">
  <w:body>
    <w:p>
      <w:r>
        <w:rPr>
          <w:b/>
        </w:rPr>
        <w:r>
          <w:rPr/>
          <w:t xml:space="preserve">4602</w:t>
        </w:r>
      </w:r>
      <w:r>
        <w:rPr>
          <w:b/>
        </w:rPr>
        <w:t xml:space="preserve"> </w:t>
        <w:t xml:space="preserve">AMH</w:t>
      </w:r>
      <w:r>
        <w:rPr>
          <w:b/>
        </w:rPr>
        <w:t xml:space="preserve"> </w:t>
        <w:r>
          <w:rPr/>
          <w:t xml:space="preserve">WILC</w:t>
        </w:r>
      </w:r>
      <w:r>
        <w:rPr>
          <w:b/>
        </w:rPr>
        <w:t xml:space="preserve"> </w:t>
        <w:r>
          <w:rPr/>
          <w:t xml:space="preserve">H0420.4</w:t>
        </w:r>
      </w:r>
      <w:r>
        <w:rPr>
          <w:b/>
        </w:rPr>
        <w:t xml:space="preserve"> - NOT FOR FLOOR USE</w:t>
      </w:r>
    </w:p>
    <w:p>
      <w:pPr>
        <w:ind w:left="0" w:right="0" w:firstLine="576"/>
      </w:pPr>
    </w:p>
    <w:p>
      <w:pPr>
        <w:spacing w:before="480" w:after="0" w:line="408" w:lineRule="exact"/>
      </w:pPr>
      <w:r>
        <w:rPr>
          <w:b/>
          <w:u w:val="single"/>
        </w:rPr>
        <w:t xml:space="preserve">HR 4602</w:t>
      </w:r>
      <w:r>
        <w:t xml:space="preserve"> -</w:t>
      </w:r>
      <w:r>
        <w:t xml:space="preserve"> </w:t>
        <w:t xml:space="preserve">H AMD</w:t>
      </w:r>
      <w:r>
        <w:t xml:space="preserve"> </w:t>
      </w:r>
      <w:r>
        <w:rPr>
          <w:b/>
        </w:rPr>
        <w:t xml:space="preserve">17</w:t>
      </w:r>
    </w:p>
    <w:p>
      <w:pPr>
        <w:spacing w:before="0" w:after="0" w:line="408" w:lineRule="exact"/>
        <w:ind w:left="0" w:right="0" w:firstLine="576"/>
        <w:jc w:val="left"/>
      </w:pPr>
      <w:r>
        <w:rPr/>
        <w:t xml:space="preserve">By Representative Wilcox</w:t>
      </w:r>
    </w:p>
    <w:p>
      <w:pPr>
        <w:jc w:val="right"/>
      </w:pPr>
    </w:p>
    <w:p>
      <w:pPr>
        <w:spacing w:before="0" w:after="0" w:line="408" w:lineRule="exact"/>
        <w:ind w:left="0" w:right="0" w:firstLine="576"/>
        <w:jc w:val="left"/>
      </w:pPr>
      <w:r>
        <w:rPr/>
        <w:t xml:space="preserve">On page 25, after line 5, insert the following:</w:t>
      </w:r>
    </w:p>
    <w:p>
      <w:pPr>
        <w:spacing w:before="0" w:after="0" w:line="408" w:lineRule="exact"/>
        <w:ind w:left="0" w:right="0" w:firstLine="576"/>
        <w:jc w:val="left"/>
      </w:pPr>
      <w:r>
        <w:rPr/>
        <w:t xml:space="preserve">"</w:t>
      </w:r>
      <w:r>
        <w:rPr>
          <w:u w:val="single"/>
        </w:rPr>
        <w:t xml:space="preserve">(6) Beginning Monday, February 15, 2021, and every two weeks thereafter during the regular session, a group comprised of two members from each caucus, the chief clerk or deputy chief clerk, and the chiefs of staff for each caucus shall review the following: State and local health data; recommendations and guidelines for safe and hygienic practices in managing COVID-19 in the workplace issued by the United States centers for disease control and prevention, state and local health authorities, and the Washington state department of labor and industries; and other relevant orders and guidelines issued by state and local health authorities. Following review, the group shall provide recommendations to the executive rules committee addressing whether additional members of the house should be authorized to participate in the regular session on the capitol campus, from either the chambers or remotely in their designated legislative offices; and whether additional members of the press and any number of members of the public should be authorized to observe committee hearings and floor sessions in person, observing appropriate requirements for facial coverings, social distancing, and other appropriate measures.</w:t>
      </w:r>
      <w:r>
        <w:rPr/>
        <w:t xml:space="preserve">"</w:t>
      </w:r>
    </w:p>
    <w:p>
      <w:pPr>
        <w:spacing w:before="0" w:after="0" w:line="408" w:lineRule="exact"/>
        <w:ind w:left="0" w:right="0" w:firstLine="576"/>
        <w:jc w:val="left"/>
      </w:pPr>
      <w:r>
        <w:rPr>
          <w:u w:val="single"/>
        </w:rPr>
        <w:t xml:space="preserve">EFFECT:</w:t>
      </w:r>
      <w:r>
        <w:rPr/>
        <w:t xml:space="preserve"> Requires that, beginning February 15, 2021, and every two weeks thereafter, a group comprised of legislators and legislative staff review various statewide health data related to COVID-19. After the review, the group must provide recommendations to the executive rules committee regarding whether additional members should be authorized to participate in the regular session on the capitol campus, from either the chambers or remotely in their designated legislative offices, and whether additional members of the press and any number of members of the public should be authorized to observe committee hearings and floor sessions in person, observing appropriate requirements for facial coverings, social distancing, and other appropriate measures.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9b66f2e123464d" /></Relationships>
</file>