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571eb833b7e4674" /></Relationships>
</file>

<file path=word/document.xml><?xml version="1.0" encoding="utf-8"?>
<w:document xmlns:w="http://schemas.openxmlformats.org/wordprocessingml/2006/main">
  <w:body>
    <w:p>
      <w:r>
        <w:rPr>
          <w:b/>
        </w:rPr>
        <w:r>
          <w:rPr/>
          <w:t xml:space="preserve">1660-S</w:t>
        </w:r>
      </w:r>
      <w:r>
        <w:rPr>
          <w:b/>
        </w:rPr>
        <w:t xml:space="preserve"> </w:t>
        <w:t xml:space="preserve">AMH</w:t>
      </w:r>
      <w:r>
        <w:rPr>
          <w:b/>
        </w:rPr>
        <w:t xml:space="preserve"> </w:t>
        <w:r>
          <w:rPr/>
          <w:t xml:space="preserve">SHEW</w:t>
        </w:r>
      </w:r>
      <w:r>
        <w:rPr>
          <w:b/>
        </w:rPr>
        <w:t xml:space="preserve"> </w:t>
        <w:r>
          <w:rPr/>
          <w:t xml:space="preserve">H2706.2</w:t>
        </w:r>
      </w:r>
      <w:r>
        <w:rPr>
          <w:b/>
        </w:rPr>
        <w:t xml:space="preserve"> - NOT FOR FLOOR USE</w:t>
      </w:r>
    </w:p>
    <w:p>
      <w:pPr>
        <w:ind w:left="0" w:right="0" w:firstLine="576"/>
      </w:pPr>
    </w:p>
    <w:p>
      <w:pPr>
        <w:spacing w:before="480" w:after="0" w:line="408" w:lineRule="exact"/>
      </w:pPr>
      <w:r>
        <w:rPr>
          <w:b/>
          <w:u w:val="single"/>
        </w:rPr>
        <w:t xml:space="preserve">SHB 1660</w:t>
      </w:r>
      <w:r>
        <w:t xml:space="preserve"> -</w:t>
      </w:r>
      <w:r>
        <w:t xml:space="preserve"> </w:t>
        <w:t xml:space="preserve">H AMD</w:t>
      </w:r>
      <w:r>
        <w:t xml:space="preserve"> </w:t>
      </w:r>
      <w:r>
        <w:rPr>
          <w:b/>
        </w:rPr>
        <w:t xml:space="preserve">1018</w:t>
      </w:r>
    </w:p>
    <w:p>
      <w:pPr>
        <w:spacing w:before="0" w:after="0" w:line="408" w:lineRule="exact"/>
        <w:ind w:left="0" w:right="0" w:firstLine="576"/>
        <w:jc w:val="left"/>
      </w:pPr>
      <w:r>
        <w:rPr/>
        <w:t xml:space="preserve">By Representative Shewmake</w:t>
      </w:r>
    </w:p>
    <w:p>
      <w:pPr>
        <w:jc w:val="right"/>
      </w:pPr>
      <w:r>
        <w:rPr>
          <w:b/>
        </w:rPr>
        <w:t xml:space="preserve">ADOPTED AS AMENDED 02/14/2022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2021 c 254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w:t>
      </w:r>
      <w:r>
        <w:t>((</w:t>
      </w:r>
      <w:r>
        <w:rPr>
          <w:strike/>
        </w:rPr>
        <w:t xml:space="preserve">[,]</w:t>
      </w:r>
      <w:r>
        <w:t>))</w:t>
      </w:r>
      <w:r>
        <w:rPr>
          <w:u w:val="single"/>
        </w:rPr>
        <w:t xml:space="preserve">,</w:t>
      </w:r>
      <w:r>
        <w:rPr/>
        <w:t xml:space="preserve">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w:t>
      </w:r>
      <w:r>
        <w:t>((</w:t>
      </w:r>
      <w:r>
        <w:rPr>
          <w:strike/>
        </w:rPr>
        <w:t xml:space="preserve">of the role</w:t>
      </w:r>
      <w:r>
        <w:t>))</w:t>
      </w:r>
      <w:r>
        <w:rPr/>
        <w:t xml:space="preserve"> </w:t>
      </w:r>
      <w:r>
        <w:rPr>
          <w:u w:val="single"/>
        </w:rPr>
        <w:t xml:space="preserve">and utilization</w:t>
      </w:r>
      <w:r>
        <w:rPr/>
        <w:t xml:space="preserve"> of accessory dwelling units in meeting housing needs </w:t>
      </w:r>
      <w:r>
        <w:rPr>
          <w:u w:val="single"/>
        </w:rPr>
        <w:t xml:space="preserve">in compliance with RCW 36.70A.698</w:t>
      </w:r>
      <w:r>
        <w:rPr/>
        <w:t xml:space="preserve">;</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w:t>
      </w:r>
      <w:r>
        <w:t>((</w:t>
      </w:r>
      <w:r>
        <w:rPr>
          <w:strike/>
        </w:rPr>
        <w:t xml:space="preserve">ten</w:t>
      </w:r>
      <w:r>
        <w:t>))</w:t>
      </w:r>
      <w:r>
        <w:rPr/>
        <w:t xml:space="preserve"> </w:t>
      </w:r>
      <w:r>
        <w:rPr>
          <w:u w:val="single"/>
        </w:rPr>
        <w:t xml:space="preserve">10</w:t>
      </w:r>
      <w:r>
        <w:rPr/>
        <w:t xml:space="preserve">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w:t>
      </w:r>
      <w:r>
        <w:t>((</w:t>
      </w:r>
      <w:r>
        <w:rPr>
          <w:strike/>
        </w:rPr>
        <w:t xml:space="preserve">ten-year</w:t>
      </w:r>
      <w:r>
        <w:t>))</w:t>
      </w:r>
      <w:r>
        <w:rPr/>
        <w:t xml:space="preserve"> </w:t>
      </w:r>
      <w:r>
        <w:rPr>
          <w:u w:val="single"/>
        </w:rPr>
        <w:t xml:space="preserve">10-year</w:t>
      </w:r>
      <w:r>
        <w:rPr/>
        <w:t xml:space="preserve">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w:t>
      </w:r>
      <w:r>
        <w:t>((</w:t>
      </w:r>
      <w:r>
        <w:rPr>
          <w:strike/>
        </w:rPr>
        <w:t xml:space="preserve">ten-year</w:t>
      </w:r>
      <w:r>
        <w:t>))</w:t>
      </w:r>
      <w:r>
        <w:rPr/>
        <w:t xml:space="preserve"> </w:t>
      </w:r>
      <w:r>
        <w:rPr>
          <w:u w:val="single"/>
        </w:rPr>
        <w:t xml:space="preserve">10-year</w:t>
      </w:r>
      <w:r>
        <w:rPr/>
        <w:t xml:space="preserve">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697</w:t>
      </w:r>
      <w:r>
        <w:rPr/>
        <w:t xml:space="preserve"> and 2020 c 217 s 3 are each amended to read as follows:</w:t>
      </w:r>
    </w:p>
    <w:p>
      <w:pPr>
        <w:spacing w:before="0" w:after="0" w:line="408" w:lineRule="exact"/>
        <w:ind w:left="0" w:right="0" w:firstLine="576"/>
        <w:jc w:val="left"/>
      </w:pPr>
      <w:r>
        <w:rPr/>
        <w:t xml:space="preserve">(1) Cities </w:t>
      </w:r>
      <w:r>
        <w:rPr>
          <w:u w:val="single"/>
        </w:rPr>
        <w:t xml:space="preserve">and counties</w:t>
      </w:r>
      <w:r>
        <w:rPr/>
        <w:t xml:space="preserve"> must adopt or amend by ordinance, and incorporate into their development regulations, zoning regulations, and other official controls the requirements of RCW 36.70A.698 to take effect by </w:t>
      </w:r>
      <w:r>
        <w:rPr>
          <w:u w:val="single"/>
        </w:rPr>
        <w:t xml:space="preserve">the time of the city's or county's next comprehensive plan update after</w:t>
      </w:r>
      <w:r>
        <w:rPr/>
        <w:t xml:space="preserve"> July 1, 2021.</w:t>
      </w:r>
    </w:p>
    <w:p>
      <w:pPr>
        <w:spacing w:before="0" w:after="0" w:line="408" w:lineRule="exact"/>
        <w:ind w:left="0" w:right="0" w:firstLine="576"/>
        <w:jc w:val="left"/>
      </w:pPr>
      <w:r>
        <w:rPr/>
        <w:t xml:space="preserve">(2) Beginning </w:t>
      </w:r>
      <w:r>
        <w:t>((</w:t>
      </w:r>
      <w:r>
        <w:rPr>
          <w:strike/>
        </w:rPr>
        <w:t xml:space="preserve">July 1, 2021</w:t>
      </w:r>
      <w:r>
        <w:t>))</w:t>
      </w:r>
      <w:r>
        <w:rPr/>
        <w:t xml:space="preserve"> </w:t>
      </w:r>
      <w:r>
        <w:rPr>
          <w:u w:val="single"/>
        </w:rPr>
        <w:t xml:space="preserve">after the deadline in subsection (1) of this section</w:t>
      </w:r>
      <w:r>
        <w:rPr/>
        <w:t xml:space="preserve">, the requirements of RCW 36.70A.698:</w:t>
      </w:r>
    </w:p>
    <w:p>
      <w:pPr>
        <w:spacing w:before="0" w:after="0" w:line="408" w:lineRule="exact"/>
        <w:ind w:left="0" w:right="0" w:firstLine="576"/>
        <w:jc w:val="left"/>
      </w:pPr>
      <w:r>
        <w:rPr/>
        <w:t xml:space="preserve">(a) Apply and take effect in any city </w:t>
      </w:r>
      <w:r>
        <w:rPr>
          <w:u w:val="single"/>
        </w:rPr>
        <w:t xml:space="preserve">or county</w:t>
      </w:r>
      <w:r>
        <w:rPr/>
        <w:t xml:space="preserve"> that has not adopted or amended ordinances, regulations, or other official controls as required under this section; and</w:t>
      </w:r>
    </w:p>
    <w:p>
      <w:pPr>
        <w:spacing w:before="0" w:after="0" w:line="408" w:lineRule="exact"/>
        <w:ind w:left="0" w:right="0" w:firstLine="576"/>
        <w:jc w:val="left"/>
      </w:pPr>
      <w:r>
        <w:rPr/>
        <w:t xml:space="preserve">(b) Supersede, preempt, and invalidate any local development regulations that conflict with RCW 36.70A.698.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698</w:t>
      </w:r>
      <w:r>
        <w:rPr/>
        <w:t xml:space="preserve"> and 2020 c 217 s 4 are each amended to read as follows:</w:t>
      </w:r>
    </w:p>
    <w:p>
      <w:pPr>
        <w:spacing w:before="0" w:after="0" w:line="408" w:lineRule="exact"/>
        <w:ind w:left="0" w:right="0" w:firstLine="576"/>
        <w:jc w:val="left"/>
      </w:pPr>
      <w:r>
        <w:rPr/>
        <w:t xml:space="preserve">(1) </w:t>
      </w:r>
      <w:r>
        <w:t>((</w:t>
      </w:r>
      <w:r>
        <w:rPr>
          <w:strike/>
        </w:rPr>
        <w:t xml:space="preserve">Except as provided in subsection[s] (2) and (3) of this section, through ordinances, development regulations, zoning regulations, and other official controls as required under RCW 36.70A.697, cities</w:t>
      </w:r>
      <w:r>
        <w:t>))</w:t>
      </w:r>
      <w:r>
        <w:rPr/>
        <w:t xml:space="preserve"> </w:t>
      </w:r>
      <w:r>
        <w:rPr>
          <w:u w:val="single"/>
        </w:rPr>
        <w:t xml:space="preserve">Cities and counties</w:t>
      </w:r>
      <w:r>
        <w:rPr/>
        <w:t xml:space="preserve"> may not </w:t>
      </w:r>
      <w:r>
        <w:t>((</w:t>
      </w:r>
      <w:r>
        <w:rPr>
          <w:strike/>
        </w:rPr>
        <w:t xml:space="preserve">require</w:t>
      </w:r>
      <w:r>
        <w:t>))</w:t>
      </w:r>
      <w:r>
        <w:rPr/>
        <w:t xml:space="preserve"> </w:t>
      </w:r>
      <w:r>
        <w:rPr>
          <w:u w:val="single"/>
        </w:rPr>
        <w:t xml:space="preserve">prohibit the construction of accessory dwelling units within urban growth areas.</w:t>
      </w:r>
    </w:p>
    <w:p>
      <w:pPr>
        <w:spacing w:before="0" w:after="0" w:line="408" w:lineRule="exact"/>
        <w:ind w:left="0" w:right="0" w:firstLine="576"/>
        <w:jc w:val="left"/>
      </w:pPr>
      <w:r>
        <w:rPr>
          <w:u w:val="single"/>
        </w:rPr>
        <w:t xml:space="preserve">(2) When regulating accessory dwelling units, cities and counties may not:</w:t>
      </w:r>
    </w:p>
    <w:p>
      <w:pPr>
        <w:spacing w:before="0" w:after="0" w:line="408" w:lineRule="exact"/>
        <w:ind w:left="0" w:right="0" w:firstLine="576"/>
        <w:jc w:val="left"/>
      </w:pPr>
      <w:r>
        <w:rPr>
          <w:u w:val="single"/>
        </w:rPr>
        <w:t xml:space="preserve">(a) Impose a maximum floor area limit on the size of an accessory dwelling unit of less than:</w:t>
      </w:r>
    </w:p>
    <w:p>
      <w:pPr>
        <w:spacing w:before="0" w:after="0" w:line="408" w:lineRule="exact"/>
        <w:ind w:left="0" w:right="0" w:firstLine="576"/>
        <w:jc w:val="left"/>
      </w:pPr>
      <w:r>
        <w:rPr>
          <w:u w:val="single"/>
        </w:rPr>
        <w:t xml:space="preserve">(i) Eight hundred fifty square feet for an accessory dwelling unit on a lot with a total square footage of less than 4,500 square feet; or</w:t>
      </w:r>
    </w:p>
    <w:p>
      <w:pPr>
        <w:spacing w:before="0" w:after="0" w:line="408" w:lineRule="exact"/>
        <w:ind w:left="0" w:right="0" w:firstLine="576"/>
        <w:jc w:val="left"/>
      </w:pPr>
      <w:r>
        <w:rPr>
          <w:u w:val="single"/>
        </w:rPr>
        <w:t xml:space="preserve">(ii) One thousand three hundred fifty square feet combined between attached and detached accessory dwelling units on a lot with a total square footage of more than 4,500 square feet, except that an attached accessory dwelling unit may be limited to half of the square footage of the principal unit and a county or city may require that public health, safety, building code, and environmental permitting requirements that would be applicable to the principal unit are met prior to the construction of the accessory dwelling unit;</w:t>
      </w:r>
    </w:p>
    <w:p>
      <w:pPr>
        <w:spacing w:before="0" w:after="0" w:line="408" w:lineRule="exact"/>
        <w:ind w:left="0" w:right="0" w:firstLine="576"/>
        <w:jc w:val="left"/>
      </w:pPr>
      <w:r>
        <w:rPr>
          <w:u w:val="single"/>
        </w:rPr>
        <w:t xml:space="preserve">(b) Impose any impact fees on the construction or development of an accessory dwelling unit that are greater than 50 percent of the impact fees that would be imposed on a similarly sized principal unit;</w:t>
      </w:r>
    </w:p>
    <w:p>
      <w:pPr>
        <w:spacing w:before="0" w:after="0" w:line="408" w:lineRule="exact"/>
        <w:ind w:left="0" w:right="0" w:firstLine="576"/>
        <w:jc w:val="left"/>
      </w:pPr>
      <w:r>
        <w:rPr>
          <w:u w:val="single"/>
        </w:rPr>
        <w:t xml:space="preserve">(c) Impose a limit on accessory dwelling units of fewer than one attached and one detached accessory dwelling unit on a lot zoned for residential use with a total square footage of more than 4,500 square feet, unless the lot is otherwise zoned to allow at least three dwelling units;</w:t>
      </w:r>
    </w:p>
    <w:p>
      <w:pPr>
        <w:spacing w:before="0" w:after="0" w:line="408" w:lineRule="exact"/>
        <w:ind w:left="0" w:right="0" w:firstLine="576"/>
        <w:jc w:val="left"/>
      </w:pPr>
      <w:r>
        <w:rPr>
          <w:u w:val="single"/>
        </w:rPr>
        <w:t xml:space="preserve">(d) Impose any prohibition of the sale or other conveyance of a condominium unit independently of a principal unit that is based solely on the grounds that the condominium unit was originally built as an accessory dwelling unit, provided that the condominium unit is served by utilities that are independent of the principal unit;</w:t>
      </w:r>
    </w:p>
    <w:p>
      <w:pPr>
        <w:spacing w:before="0" w:after="0" w:line="408" w:lineRule="exact"/>
        <w:ind w:left="0" w:right="0" w:firstLine="576"/>
        <w:jc w:val="left"/>
      </w:pPr>
      <w:r>
        <w:rPr>
          <w:u w:val="single"/>
        </w:rPr>
        <w:t xml:space="preserve">(e) Impose any owner occupancy requirements on any housing or dwelling unit on a lot containing an accessory dwelling unit. A city or county may retain an owner occupancy requirement if:</w:t>
      </w:r>
    </w:p>
    <w:p>
      <w:pPr>
        <w:spacing w:before="0" w:after="0" w:line="408" w:lineRule="exact"/>
        <w:ind w:left="0" w:right="0" w:firstLine="576"/>
        <w:jc w:val="left"/>
      </w:pPr>
      <w:r>
        <w:rPr>
          <w:u w:val="single"/>
        </w:rPr>
        <w:t xml:space="preserve">(i) An accessory dwelling unit on the lot is offered or used for short-term rental as defined in RCW 36.70A.696; or</w:t>
      </w:r>
    </w:p>
    <w:p>
      <w:pPr>
        <w:spacing w:before="0" w:after="0" w:line="408" w:lineRule="exact"/>
        <w:ind w:left="0" w:right="0" w:firstLine="576"/>
        <w:jc w:val="left"/>
      </w:pPr>
      <w:r>
        <w:rPr>
          <w:u w:val="single"/>
        </w:rPr>
        <w:t xml:space="preserve">(ii) The owner of the accessory dwelling unit accepts an offer from the city or county for the reduction or waiver of the costs or fees that would have normally been imposed on the construction of the accessory dwelling unit. In order to utilize this provision, a city or county must have a general program offering the waiver or reduction of fees and costs associated with accessory dwelling unit construction, with specific additional waiver provisions for units offered at or below 80 percent of the area median income;</w:t>
      </w:r>
    </w:p>
    <w:p>
      <w:pPr>
        <w:spacing w:before="0" w:after="0" w:line="408" w:lineRule="exact"/>
        <w:ind w:left="0" w:right="0" w:firstLine="576"/>
        <w:jc w:val="left"/>
      </w:pPr>
      <w:r>
        <w:rPr>
          <w:u w:val="single"/>
        </w:rPr>
        <w:t xml:space="preserve">(f) Require</w:t>
      </w:r>
      <w:r>
        <w:rPr/>
        <w:t xml:space="preserve"> the provision of off-street parking for accessory dwelling units within one-quarter mile of a major transit stop.</w:t>
      </w:r>
    </w:p>
    <w:p>
      <w:pPr>
        <w:spacing w:before="0" w:after="0" w:line="408" w:lineRule="exact"/>
        <w:ind w:left="0" w:right="0" w:firstLine="576"/>
        <w:jc w:val="left"/>
      </w:pPr>
      <w:r>
        <w:t>((</w:t>
      </w:r>
      <w:r>
        <w:rPr>
          <w:strike/>
        </w:rPr>
        <w:t xml:space="preserve">(2) A city may require the provision of off-street parking for an accessory dwelling unit located within one-quarter mile of a major transit stop if the city has determined that the accessory dwelling unit is in an area with a lack of access to street parking capacity, physical space impediments, or other reasons supported by evidence that would make on-street parking infeasible for the accessory dwelling unit.</w:t>
      </w:r>
    </w:p>
    <w:p>
      <w:pPr>
        <w:spacing w:before="0" w:after="0" w:line="408" w:lineRule="exact"/>
        <w:ind w:left="0" w:right="0" w:firstLine="576"/>
        <w:jc w:val="left"/>
      </w:pPr>
      <w:r>
        <w:rPr>
          <w:strike/>
        </w:rPr>
        <w:t xml:space="preserve">(3) A city that has adopted or substantively amended accessory dwelling unit regulations within the four years previous to June 11, 2020, is not subject to the requirements of this section.</w:t>
      </w:r>
      <w:r>
        <w:t>))</w:t>
      </w:r>
    </w:p>
    <w:p>
      <w:pPr>
        <w:spacing w:before="0" w:after="0" w:line="408" w:lineRule="exact"/>
        <w:ind w:left="0" w:right="0" w:firstLine="576"/>
        <w:jc w:val="left"/>
      </w:pPr>
      <w:r>
        <w:rPr>
          <w:u w:val="single"/>
        </w:rPr>
        <w:t xml:space="preserve">(3) Cities and counties may apply generally applicable development regulations to the construction of accessory dwelling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Governing documents created after the effective date of this section and applicable to an association located within an urban growth area may not actively or effectively prohibit the construction, development, or use on a lot of an accessory dwelling unit.</w:t>
      </w:r>
    </w:p>
    <w:p>
      <w:pPr>
        <w:spacing w:before="0" w:after="0" w:line="408" w:lineRule="exact"/>
        <w:ind w:left="0" w:right="0" w:firstLine="576"/>
        <w:jc w:val="left"/>
      </w:pPr>
      <w:r>
        <w:rPr/>
        <w:t xml:space="preserve">(2) For the purposes of this section, "urban growth area" has the same meaning as in RCW 36.70A.030.</w:t>
      </w:r>
    </w:p>
    <w:p>
      <w:pPr>
        <w:spacing w:before="0" w:after="0" w:line="408" w:lineRule="exact"/>
        <w:ind w:left="0" w:right="0" w:firstLine="576"/>
        <w:jc w:val="left"/>
      </w:pPr>
      <w:r>
        <w:rPr/>
        <w:t xml:space="preserve">(3) A city or county issuing a permit for the construction of an accessory dwelling unit may not be held civilly liable on the basis that the construction of the accessory dwelling unit would violate governing documents that were created after the effective date of this section and that are contrary to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Neither a declaration nor a governing document created after the effective date of this section and applicable to a common interest community located inside an urban growth area may actively or effectively prohibit the construction, development, or use on a lot of an accessory dwelling unit.</w:t>
      </w:r>
    </w:p>
    <w:p>
      <w:pPr>
        <w:spacing w:before="0" w:after="0" w:line="408" w:lineRule="exact"/>
        <w:ind w:left="0" w:right="0" w:firstLine="576"/>
        <w:jc w:val="left"/>
      </w:pPr>
      <w:r>
        <w:rPr/>
        <w:t xml:space="preserve">(2) For the purposes of this section, "urban growth area" has the same meaning as in RCW 36.70A.030.</w:t>
      </w:r>
    </w:p>
    <w:p>
      <w:pPr>
        <w:spacing w:before="0" w:after="0" w:line="408" w:lineRule="exact"/>
        <w:ind w:left="0" w:right="0" w:firstLine="576"/>
        <w:jc w:val="left"/>
      </w:pPr>
      <w:r>
        <w:rPr/>
        <w:t xml:space="preserve">(3) A city or county issuing a permit for the construction of an accessory dwelling unit may not be held civilly liable on the basis that the construction of the accessory dwelling unit would violate declarations or governing documents that were created after the effective date of this section and that are contrary to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No restrictive covenant or deed restriction created after the effective date of this section and applicable to a property located within an urban growth area may prohibit the construction, development, or use on a lot of an accessory dwelling unit.</w:t>
      </w:r>
    </w:p>
    <w:p>
      <w:pPr>
        <w:spacing w:before="0" w:after="0" w:line="408" w:lineRule="exact"/>
        <w:ind w:left="0" w:right="0" w:firstLine="576"/>
        <w:jc w:val="left"/>
      </w:pPr>
      <w:r>
        <w:rPr/>
        <w:t xml:space="preserve">(2) For the purposes of this section, "urban growth area" has the same meaning as in RCW 36.70A.030.</w:t>
      </w:r>
    </w:p>
    <w:p>
      <w:pPr>
        <w:spacing w:before="0" w:after="0" w:line="408" w:lineRule="exact"/>
        <w:ind w:left="0" w:right="0" w:firstLine="576"/>
        <w:jc w:val="left"/>
      </w:pPr>
      <w:r>
        <w:rPr/>
        <w:t xml:space="preserve">(3) A city or county issuing a permit for the construction of an accessory dwelling unit may not be held civilly liable on the basis that the construction of the accessory dwelling unit would violate a restrictive covenant or deed restriction that was created after the effective date of this section and that is contrary to subsection (1) of this section."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Strikes the underlying bill and makes the following changes:</w:t>
      </w:r>
    </w:p>
    <w:p>
      <w:pPr>
        <w:spacing w:before="0" w:after="0" w:line="408" w:lineRule="exact"/>
        <w:ind w:left="0" w:right="0" w:firstLine="576"/>
        <w:jc w:val="left"/>
      </w:pPr>
      <w:r>
        <w:rPr/>
        <w:t xml:space="preserve">(1) Moves provisions related to the prohibition on cities and counties imposing specified restrictions on accessory dwelling units (ADUs) from the housing element of the comprehensive plan to elsewhere in the Growth Management Act.</w:t>
      </w:r>
    </w:p>
    <w:p>
      <w:pPr>
        <w:spacing w:before="0" w:after="0" w:line="408" w:lineRule="exact"/>
        <w:ind w:left="0" w:right="0" w:firstLine="576"/>
        <w:jc w:val="left"/>
      </w:pPr>
      <w:r>
        <w:rPr/>
        <w:t xml:space="preserve">(2) Requires counties and cities to comply with the prohibition on imposing specified regulations on ADUs by the county or city's next comprehensive plan update and provides that contrary regulations in existence after that date will be preempted.</w:t>
      </w:r>
    </w:p>
    <w:p>
      <w:pPr>
        <w:spacing w:before="0" w:after="0" w:line="408" w:lineRule="exact"/>
        <w:ind w:left="0" w:right="0" w:firstLine="576"/>
        <w:jc w:val="left"/>
      </w:pPr>
      <w:r>
        <w:rPr/>
        <w:t xml:space="preserve">(3) Prohibits a limit on the number of ADUs on a lot to fewer than one attached and one detached ADU on each lot zoned for residential use of at least 4,500 square feet, unless the lot is otherwise zoned to allow three dwelling units.</w:t>
      </w:r>
    </w:p>
    <w:p>
      <w:pPr>
        <w:spacing w:before="0" w:after="0" w:line="408" w:lineRule="exact"/>
        <w:ind w:left="0" w:right="0" w:firstLine="576"/>
        <w:jc w:val="left"/>
      </w:pPr>
      <w:r>
        <w:rPr/>
        <w:t xml:space="preserve">(4) Prohibits a ban on the sale of a condominium unit that is solely based on the condominium unit originally having been built as an ADU, as long as the condominium unit is served by its own utilities.</w:t>
      </w:r>
    </w:p>
    <w:p>
      <w:pPr>
        <w:spacing w:before="0" w:after="0" w:line="408" w:lineRule="exact"/>
        <w:ind w:left="0" w:right="0" w:firstLine="576"/>
        <w:jc w:val="left"/>
      </w:pPr>
      <w:r>
        <w:rPr/>
        <w:t xml:space="preserve">(5) Allows an owner-occupancy requirement to be imposed on a housing unit on a lot containing an ADU if the owner accepts an offer from the local jurisdiction to reduce or waive costs or fees that would otherwise have been imposed on the construction of the ADU, and the jurisdiction has a general program for the waiver or reduction of fees related to ADUs, with specific provisions that apply to units offered at or below 80 percent of area median income.</w:t>
      </w:r>
    </w:p>
    <w:p>
      <w:pPr>
        <w:spacing w:before="0" w:after="0" w:line="408" w:lineRule="exact"/>
        <w:ind w:left="0" w:right="0" w:firstLine="576"/>
        <w:jc w:val="left"/>
      </w:pPr>
      <w:r>
        <w:rPr/>
        <w:t xml:space="preserve">(6) Provides that cities and counties may apply generally applicable development regulations to the construction of accessory dwelling units.</w:t>
      </w:r>
    </w:p>
    <w:p>
      <w:pPr>
        <w:spacing w:before="0" w:after="0" w:line="408" w:lineRule="exact"/>
        <w:ind w:left="0" w:right="0" w:firstLine="576"/>
        <w:jc w:val="left"/>
      </w:pPr>
      <w:r>
        <w:rPr/>
        <w:t xml:space="preserve">(7) Makes the limitations on the restrictions that homeowners' associations and common interest communities within an urban growth area can impose on ADUs apply to only restrictions contained in governing documents created after the effective date of the section rather than also applying retroactively to existing documents, and removes provisions stating that homeowners' associations and common interest communities could include reasonable rules and regulations on ADUs, as long as such rules did not effectively prevent the construction of ADUs.</w:t>
      </w:r>
    </w:p>
    <w:p>
      <w:pPr>
        <w:spacing w:before="0" w:after="0" w:line="408" w:lineRule="exact"/>
        <w:ind w:left="0" w:right="0" w:firstLine="576"/>
        <w:jc w:val="left"/>
      </w:pPr>
      <w:r>
        <w:rPr/>
        <w:t xml:space="preserve">(8) Provides that a city or county cannot be held civilly liable for the issuance of a permit for the construction of an ADU that would be prohibited by a homeowners' association or common interest community's governing documents, or by a restrictive covenant or deed restriction, if the governing document, restrictive covenant, or deed restriction, was created after the effective date of the section and imposes a prohibition on the construction, development, or use of ADUs that is disallowed by the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dcc117adbc4a5e" /></Relationships>
</file>