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fd4dca97834ab7" /></Relationships>
</file>

<file path=word/document.xml><?xml version="1.0" encoding="utf-8"?>
<w:document xmlns:w="http://schemas.openxmlformats.org/wordprocessingml/2006/main">
  <w:body>
    <w:p>
      <w:r>
        <w:rPr>
          <w:b/>
        </w:rPr>
        <w:r>
          <w:rPr/>
          <w:t xml:space="preserve">1335-S2</w:t>
        </w:r>
      </w:r>
      <w:r>
        <w:rPr>
          <w:b/>
        </w:rPr>
        <w:t xml:space="preserve"> </w:t>
        <w:t xml:space="preserve">AMH</w:t>
      </w:r>
      <w:r>
        <w:rPr>
          <w:b/>
        </w:rPr>
        <w:t xml:space="preserve"> </w:t>
        <w:r>
          <w:rPr/>
          <w:t xml:space="preserve">POLL</w:t>
        </w:r>
      </w:r>
      <w:r>
        <w:rPr>
          <w:b/>
        </w:rPr>
        <w:t xml:space="preserve"> </w:t>
        <w:r>
          <w:rPr/>
          <w:t xml:space="preserve">H1188.2</w:t>
        </w:r>
      </w:r>
      <w:r>
        <w:rPr>
          <w:b/>
        </w:rPr>
        <w:t xml:space="preserve"> - NOT FOR FLOOR USE</w:t>
      </w:r>
    </w:p>
    <w:p>
      <w:pPr>
        <w:ind w:left="0" w:right="0" w:firstLine="576"/>
      </w:pPr>
    </w:p>
    <w:p>
      <w:pPr>
        <w:spacing w:before="480" w:after="0" w:line="408" w:lineRule="exact"/>
      </w:pPr>
      <w:r>
        <w:rPr>
          <w:b/>
          <w:u w:val="single"/>
        </w:rPr>
        <w:t xml:space="preserve">2SHB 1335</w:t>
      </w:r>
      <w:r>
        <w:t xml:space="preserve"> -</w:t>
      </w:r>
      <w:r>
        <w:t xml:space="preserve"> </w:t>
        <w:t xml:space="preserve">H AMD</w:t>
      </w:r>
      <w:r>
        <w:t xml:space="preserve"> </w:t>
      </w:r>
      <w:r>
        <w:rPr>
          <w:b/>
        </w:rPr>
        <w:t xml:space="preserve">338</w:t>
      </w:r>
    </w:p>
    <w:p>
      <w:pPr>
        <w:spacing w:before="0" w:after="0" w:line="408" w:lineRule="exact"/>
        <w:ind w:left="0" w:right="0" w:firstLine="576"/>
        <w:jc w:val="left"/>
      </w:pPr>
      <w:r>
        <w:rPr/>
        <w:t xml:space="preserve">By Representative Pollet</w:t>
      </w:r>
    </w:p>
    <w:p>
      <w:pPr>
        <w:jc w:val="right"/>
      </w:pPr>
      <w:r>
        <w:rPr>
          <w:b/>
        </w:rPr>
        <w:t xml:space="preserve">ADOPTED 03/04/2021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existence of racial, religious, or ethnic-based property restrictions or covenants on a deed or chain of title for real property is like having a monument to racism on that property and is repugnant to the tenets of equality. Furthermore, such restrictions and covenants may cause mental anguish and tarnish a property owner's sense of ownership in the property because the owner feels as though they have participated in a racist act themselves.</w:t>
      </w:r>
    </w:p>
    <w:p>
      <w:pPr>
        <w:spacing w:before="0" w:after="0" w:line="408" w:lineRule="exact"/>
        <w:ind w:left="0" w:right="0" w:firstLine="576"/>
        <w:jc w:val="left"/>
      </w:pPr>
      <w:r>
        <w:rPr/>
        <w:t xml:space="preserve">It is the intent of the legislature that the owner, occupant, or tenant or homeowners' association board of the property which is subject to an unlawful deed restriction or covenant pursuant to RCW 49.60.224 is entitled to have discriminatory covenants and restrictions that are contrary to public policy struck from their chain of title. The legislature has presented two ways this can be accomplished through RCW 49.60.227(1) (a) and (b). If the owner, occupant, or tenant or homeowners' association board of the property elects to pursue a judicial remedy, the legislature intends that the court issue a declaratory judgment ordering the county auditor, or in charter counties the county official charged with the responsibility for recording instruments in the county records, to entirely strike the racist or otherwise discriminatory covenants from the chain of title. Striking the language does not prevent preservation of the original record, outside of the chain of title, for historical or archival purposes.</w:t>
      </w:r>
    </w:p>
    <w:p>
      <w:pPr>
        <w:spacing w:before="0" w:after="0" w:line="408" w:lineRule="exact"/>
        <w:ind w:left="0" w:right="0" w:firstLine="576"/>
        <w:jc w:val="left"/>
      </w:pPr>
      <w:r>
        <w:rPr/>
        <w:t xml:space="preserve">The legislature finds that striking racist, religious, and ethnic restrictions or covenants from the chain of title is no different than having an offensive statutory monument which the owner may entirely remove. So too should the owner be able to entirely remove the offensive written monument to racism or other unconstitutional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University of Washington and Eastern Washington University shall review existing recorded covenants and deed restrictions to identify those recorded documents that include racial or other restrictions on property ownership or use against protected classes that are unlawful under RCW 49.60.224. For properties subject to such racial and other unlawful restrictions, the universities shall provide notice to the property owner and to the county auditor of the county in which the property is located. The universities shall provide information to the property owner on how such provisions can be struck pursuant to RCW 49.60.227. The universities may contract with other public and private not-for-profit higher education institutions that are regionally accredited to carry out the review and notification requirements of this section.</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2019 c 455 s 3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p>
            <w:pPr>
              <w:spacing w:before="0" w:after="0" w:line="408" w:lineRule="exact"/>
              <w:ind w:left="0" w:right="0" w:firstLine="0"/>
              <w:jc w:val="both"/>
            </w:pPr>
            <w:r>
              <w:rPr>
                <w:rFonts w:ascii="Times New Roman" w:hAnsi="Times New Roman"/>
                <w:sz w:val="14"/>
                <w:u w:val="single"/>
              </w:rPr>
              <w:t xml:space="preserve">NOTICE TO THE BUYER: Covenants or deed restrictions based on race, creed, sexual orientation, or other protected class were voided by RCW 49.60.224 and are unenforceable. Washington law allows for the illegal language to be struck by bringing an action in superior court or by the free recording of a restrictive covenant modification document. Many county auditor websites provide a short form with instructions on this process.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 Leased [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detection devices?</w:t>
            </w:r>
          </w:p>
          <w:p>
            <w:pPr>
              <w:spacing w:before="0" w:after="0" w:line="408" w:lineRule="exact"/>
              <w:ind w:left="0" w:right="0" w:firstLine="0"/>
              <w:jc w:val="both"/>
            </w:pPr>
            <w:r>
              <w:rPr>
                <w:rFonts w:ascii="Times New Roman" w:hAnsi="Times New Roman"/>
                <w:sz w:val="14"/>
              </w:rPr>
              <w:t xml:space="preserve">(Note: Pursuant to RCW 43.44.110, if the property is not equipped with at least one smoke detection device, at least one must be provided by the seller.)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227</w:t>
      </w:r>
      <w:r>
        <w:rPr/>
        <w:t xml:space="preserve"> and 2018 c 65 s 1 are each amended to read as follows:</w:t>
      </w:r>
    </w:p>
    <w:p>
      <w:pPr>
        <w:spacing w:before="0" w:after="0" w:line="408" w:lineRule="exact"/>
        <w:ind w:left="0" w:right="0" w:firstLine="576"/>
        <w:jc w:val="left"/>
      </w:pPr>
      <w:r>
        <w:rPr/>
        <w:t xml:space="preserve">(1)(a) If a written instrument contains a provision that is void by reason of RCW 49.60.224, the owner, occupant, or tenant of the property which is subject to the provision or the homeowners' association board may cause the provision to be stricken from the public records by bringing an action in the superior court in the county in which the property is located. The action shall be an in rem, declaratory judgment action whose title shall be the description of the property. The necessary party to the action shall be the owner, occupant, or tenant of the property or any portion thereof. The person bringing the action shall pay a fee set under RCW 36.18.012.</w:t>
      </w:r>
    </w:p>
    <w:p>
      <w:pPr>
        <w:spacing w:before="0" w:after="0" w:line="408" w:lineRule="exact"/>
        <w:ind w:left="0" w:right="0" w:firstLine="576"/>
        <w:jc w:val="left"/>
      </w:pPr>
      <w:r>
        <w:rPr/>
        <w:t xml:space="preserve">(b) If the court finds that any provisions of the written instrument are void under RCW 49.60.224, it shall enter an order striking the void provisions from the public records and eliminating the void provisions from the title or lease of the property described in the complaint.</w:t>
      </w:r>
    </w:p>
    <w:p>
      <w:pPr>
        <w:spacing w:before="0" w:after="0" w:line="408" w:lineRule="exact"/>
        <w:ind w:left="0" w:right="0" w:firstLine="576"/>
        <w:jc w:val="left"/>
      </w:pPr>
      <w:r>
        <w:rPr>
          <w:u w:val="single"/>
        </w:rPr>
        <w:t xml:space="preserve">(i) A complete copy of any document affected by the order shall be made an exhibit to the order and the order shall identify each document by recording number and date of recordation and set forth verbatim the void provisions to be struck from such document. The order shall include a certified copy of each document, upon which the court has physically redacted the void provisions.</w:t>
      </w:r>
    </w:p>
    <w:p>
      <w:pPr>
        <w:spacing w:before="0" w:after="0" w:line="408" w:lineRule="exact"/>
        <w:ind w:left="0" w:right="0" w:firstLine="576"/>
        <w:jc w:val="left"/>
      </w:pPr>
      <w:r>
        <w:rPr>
          <w:u w:val="single"/>
        </w:rPr>
        <w:t xml:space="preserve">(ii) The person bringing the action may obtain and deliver a certified copy of the order to the office of the county auditor or, in charter counties, the county official charged with the responsibility for recording instruments in the county records, in the county where the property is located.</w:t>
      </w:r>
    </w:p>
    <w:p>
      <w:pPr>
        <w:spacing w:before="0" w:after="0" w:line="408" w:lineRule="exact"/>
        <w:ind w:left="0" w:right="0" w:firstLine="576"/>
        <w:jc w:val="left"/>
      </w:pPr>
      <w:r>
        <w:rPr>
          <w:u w:val="single"/>
        </w:rPr>
        <w:t xml:space="preserve">(iii) The auditor shall record the documents prepared by the court. An image of each document so corrected shall be placed in the public records. Each corrected document shall contain the following information on the first page or a cover page prepared pursuant to RCW 65.04.047: The auditor's file number or book and page of the original document, a notation that the original document was corrected pursuant to this section, the cause number of the court action, and the date the order was entered.</w:t>
      </w:r>
    </w:p>
    <w:p>
      <w:pPr>
        <w:spacing w:before="0" w:after="0" w:line="408" w:lineRule="exact"/>
        <w:ind w:left="0" w:right="0" w:firstLine="576"/>
        <w:jc w:val="left"/>
      </w:pPr>
      <w:r>
        <w:rPr>
          <w:u w:val="single"/>
        </w:rPr>
        <w:t xml:space="preserve">(iv) The auditor or official shall update the index of each original document referenced in the order with the auditor's file number of the corrected document. Further, the index will note that the original record is no longer the primary official public record and is removed from the chain of title pursuant to the court order.</w:t>
      </w:r>
    </w:p>
    <w:p>
      <w:pPr>
        <w:spacing w:before="0" w:after="0" w:line="408" w:lineRule="exact"/>
        <w:ind w:left="0" w:right="0" w:firstLine="576"/>
        <w:jc w:val="left"/>
      </w:pPr>
      <w:r>
        <w:rPr>
          <w:u w:val="single"/>
        </w:rPr>
        <w:t xml:space="preserve">(v) At the auditor's or official's discretion, the original document or image may be transferred to the secretary of state archives division to be preserved for historical or archival purposes.</w:t>
      </w:r>
    </w:p>
    <w:p>
      <w:pPr>
        <w:spacing w:before="0" w:after="0" w:line="408" w:lineRule="exact"/>
        <w:ind w:left="0" w:right="0" w:firstLine="576"/>
        <w:jc w:val="left"/>
      </w:pPr>
      <w:r>
        <w:rPr/>
        <w:t xml:space="preserve">(2)(a) As an alternative to the judicial procedure set forth in subsection (1) of this section, the owner of property subject to a written instrument that contains a provision that is void by reason of RCW 49.60.224 may record a restrictive covenant modification document with the county auditor, or in charter counties the county official charged with the responsibility for recording instruments in the county records, in the county in which the property is located.</w:t>
      </w:r>
    </w:p>
    <w:p>
      <w:pPr>
        <w:spacing w:before="0" w:after="0" w:line="408" w:lineRule="exact"/>
        <w:ind w:left="0" w:right="0" w:firstLine="576"/>
        <w:jc w:val="left"/>
      </w:pPr>
      <w:r>
        <w:rPr/>
        <w:t xml:space="preserve">(b) The modification document shall contain a recording reference to the original written instrument.</w:t>
      </w:r>
    </w:p>
    <w:p>
      <w:pPr>
        <w:spacing w:before="0" w:after="0" w:line="408" w:lineRule="exact"/>
        <w:ind w:left="0" w:right="0" w:firstLine="576"/>
        <w:jc w:val="left"/>
      </w:pPr>
      <w:r>
        <w:rPr/>
        <w:t xml:space="preserve">(c) The modification document must state, in part:</w:t>
      </w:r>
    </w:p>
    <w:p>
      <w:pPr>
        <w:spacing w:before="0" w:after="0" w:line="408" w:lineRule="exact"/>
        <w:ind w:left="0" w:right="0" w:firstLine="576"/>
        <w:jc w:val="left"/>
      </w:pPr>
      <w:r>
        <w:rPr/>
        <w:t xml:space="preserve">"The referenced original written instrument contains discriminatory provisions that are void and unenforceable under RCW 49.60.224 and federal law. This document strikes from the referenced original instrument all provisions that are void and unenforceable under law."</w:t>
      </w:r>
    </w:p>
    <w:p>
      <w:pPr>
        <w:spacing w:before="0" w:after="0" w:line="408" w:lineRule="exact"/>
        <w:ind w:left="0" w:right="0" w:firstLine="576"/>
        <w:jc w:val="left"/>
      </w:pPr>
      <w:r>
        <w:rPr/>
        <w:t xml:space="preserve">(d) The effective date of the modification document shall be the same as the effective date of the original written instrument.</w:t>
      </w:r>
    </w:p>
    <w:p>
      <w:pPr>
        <w:spacing w:before="0" w:after="0" w:line="408" w:lineRule="exact"/>
        <w:ind w:left="0" w:right="0" w:firstLine="576"/>
        <w:jc w:val="left"/>
      </w:pPr>
      <w:r>
        <w:rPr/>
        <w:t xml:space="preserve">(e) If the owner causes to be recorded a modification document that contains modifications not authorized by this section, the county auditor or recording officer shall not incur liability for recording the document. Any liability that may result is the sole responsibility of the owner who caused the recordation.</w:t>
      </w:r>
    </w:p>
    <w:p>
      <w:pPr>
        <w:spacing w:before="0" w:after="0" w:line="408" w:lineRule="exact"/>
        <w:ind w:left="0" w:right="0" w:firstLine="576"/>
        <w:jc w:val="left"/>
      </w:pPr>
      <w:r>
        <w:rPr/>
        <w:t xml:space="preserve">(f) No filing or recording fees or otherwise authorized surcharges shall be required for the filing of a modification document pursuant to this section.</w:t>
      </w:r>
    </w:p>
    <w:p>
      <w:pPr>
        <w:spacing w:before="0" w:after="0" w:line="408" w:lineRule="exact"/>
        <w:ind w:left="0" w:right="0" w:firstLine="576"/>
        <w:jc w:val="left"/>
      </w:pPr>
      <w:r>
        <w:rPr/>
        <w:t xml:space="preserve">(3) For the purposes of this section, "restrictive covenant modification document" or "modification document" means a standard form developed and designed by the Washington state association of county auditors.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real estate transactions entered into on or after January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w:t>
      </w:r>
    </w:p>
    <w:p>
      <w:pPr>
        <w:spacing w:before="0" w:after="0" w:line="408" w:lineRule="exact"/>
        <w:ind w:left="0" w:right="0" w:firstLine="576"/>
        <w:jc w:val="left"/>
      </w:pPr>
      <w:r>
        <w:rPr/>
        <w:t xml:space="preserve">(1) Removes the requirement that the Department of Commerce establish and administer a grant program to review property records for unlawful racial restrictions and provide notice to property owners.</w:t>
      </w:r>
    </w:p>
    <w:p>
      <w:pPr>
        <w:spacing w:before="0" w:after="0" w:line="408" w:lineRule="exact"/>
        <w:ind w:left="0" w:right="0" w:firstLine="576"/>
        <w:jc w:val="left"/>
      </w:pPr>
      <w:r>
        <w:rPr/>
        <w:t xml:space="preserve">(2) Provides that, subject to appropriations, the University of Washington and Eastern Washington University shall conduct the review of existing recorded covenants and deed restrictions and provide notice to property owners of such restrictions.</w:t>
      </w:r>
    </w:p>
    <w:p>
      <w:pPr>
        <w:spacing w:before="0" w:after="0" w:line="408" w:lineRule="exact"/>
        <w:ind w:left="0" w:right="0" w:firstLine="576"/>
        <w:jc w:val="left"/>
      </w:pPr>
      <w:r>
        <w:rPr/>
        <w:t xml:space="preserve">(3) Specifies how the unlawful restrictions are to be stricken and removed from the chain of title.</w:t>
      </w:r>
    </w:p>
    <w:p>
      <w:pPr>
        <w:spacing w:before="0" w:after="0" w:line="408" w:lineRule="exact"/>
        <w:ind w:left="0" w:right="0" w:firstLine="576"/>
        <w:jc w:val="left"/>
      </w:pPr>
      <w:r>
        <w:rPr/>
        <w:t xml:space="preserve">(4) Allows the original document to be preserved for historical or archival purposes at the discretion of the auditor or official.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8dfcc5dcd4a68" /></Relationships>
</file>