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331706" w14:paraId="0D3B521E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853E8">
            <w:t>1232-S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853E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853E8">
            <w:t>GOEH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853E8">
            <w:t>WRIK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853E8">
            <w:t>120</w:t>
          </w:r>
        </w:sdtContent>
      </w:sdt>
    </w:p>
    <w:p w:rsidR="00DF5D0E" w:rsidP="00B73E0A" w:rsidRDefault="00AA1230" w14:paraId="37C9EED0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31706" w14:paraId="58DB77F4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853E8">
            <w:rPr>
              <w:b/>
              <w:u w:val="single"/>
            </w:rPr>
            <w:t>SHB 1232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853E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429</w:t>
          </w:r>
        </w:sdtContent>
      </w:sdt>
    </w:p>
    <w:p w:rsidR="00DF5D0E" w:rsidP="00605C39" w:rsidRDefault="00331706" w14:paraId="7695B609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853E8">
            <w:rPr>
              <w:sz w:val="22"/>
            </w:rPr>
            <w:t>By Representative Goehner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853E8" w14:paraId="687574C6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03/08/2021</w:t>
          </w:r>
        </w:p>
      </w:sdtContent>
    </w:sdt>
    <w:p w:rsidR="009853E8" w:rsidP="00C8108C" w:rsidRDefault="00DE256E" w14:paraId="7D0DB35B" w14:textId="4EDD8763">
      <w:pPr>
        <w:pStyle w:val="Page"/>
      </w:pPr>
      <w:bookmarkStart w:name="StartOfAmendmentBody" w:id="0"/>
      <w:bookmarkEnd w:id="0"/>
      <w:permStart w:edGrp="everyone" w:id="388971153"/>
      <w:r>
        <w:tab/>
      </w:r>
      <w:r w:rsidR="009853E8">
        <w:t xml:space="preserve">On page </w:t>
      </w:r>
      <w:r w:rsidR="00E9724A">
        <w:t>2, line 40, after "</w:t>
      </w:r>
      <w:r w:rsidR="00E9724A">
        <w:rPr>
          <w:u w:val="single"/>
        </w:rPr>
        <w:t>period.</w:t>
      </w:r>
      <w:r w:rsidR="00E9724A">
        <w:t>" insert "</w:t>
      </w:r>
      <w:r w:rsidR="00E9724A">
        <w:rPr>
          <w:u w:val="single"/>
        </w:rPr>
        <w:t xml:space="preserve">The planning, development, and other requirements of this subsection related to duplexes, triplexes, and townhomes within an urban growth area boundary do not apply to a county or city that is not </w:t>
      </w:r>
      <w:r w:rsidRPr="00457B4B" w:rsidR="00E9724A">
        <w:rPr>
          <w:u w:val="single"/>
        </w:rPr>
        <w:t xml:space="preserve">subject to the review and evaluation requirements of RCW 36.70A.215 if the </w:t>
      </w:r>
      <w:r w:rsidR="00E9724A">
        <w:rPr>
          <w:u w:val="single"/>
        </w:rPr>
        <w:t>county or city</w:t>
      </w:r>
      <w:r w:rsidRPr="00457B4B" w:rsidR="00E9724A">
        <w:rPr>
          <w:u w:val="single"/>
        </w:rPr>
        <w:t xml:space="preserve"> adopt</w:t>
      </w:r>
      <w:r w:rsidR="00E9724A">
        <w:rPr>
          <w:u w:val="single"/>
        </w:rPr>
        <w:t>s</w:t>
      </w:r>
      <w:r w:rsidRPr="00457B4B" w:rsidR="00E9724A">
        <w:rPr>
          <w:u w:val="single"/>
        </w:rPr>
        <w:t xml:space="preserve"> findings </w:t>
      </w:r>
      <w:r w:rsidR="00E9724A">
        <w:rPr>
          <w:u w:val="single"/>
        </w:rPr>
        <w:t>and provides</w:t>
      </w:r>
      <w:r w:rsidRPr="00457B4B" w:rsidR="00E9724A">
        <w:rPr>
          <w:u w:val="single"/>
        </w:rPr>
        <w:t xml:space="preserve"> evidence that </w:t>
      </w:r>
      <w:r w:rsidR="00E9724A">
        <w:rPr>
          <w:u w:val="single"/>
        </w:rPr>
        <w:t xml:space="preserve">the </w:t>
      </w:r>
      <w:r w:rsidRPr="00457B4B" w:rsidR="00E9724A">
        <w:rPr>
          <w:u w:val="single"/>
        </w:rPr>
        <w:t xml:space="preserve">current infrastructure </w:t>
      </w:r>
      <w:r w:rsidR="00E9724A">
        <w:rPr>
          <w:u w:val="single"/>
        </w:rPr>
        <w:t xml:space="preserve">within an urban growth area boundary </w:t>
      </w:r>
      <w:r w:rsidRPr="00457B4B" w:rsidR="00E9724A">
        <w:rPr>
          <w:u w:val="single"/>
        </w:rPr>
        <w:t>is not capable of supporting such development or that there is little likelihood that</w:t>
      </w:r>
      <w:r w:rsidR="00E9724A">
        <w:rPr>
          <w:u w:val="single"/>
        </w:rPr>
        <w:t xml:space="preserve"> </w:t>
      </w:r>
      <w:r w:rsidRPr="00457B4B" w:rsidR="00E9724A">
        <w:rPr>
          <w:u w:val="single"/>
        </w:rPr>
        <w:t>infrastructure will be built to support such development within the 20-year planning period</w:t>
      </w:r>
      <w:r w:rsidR="00E9724A">
        <w:rPr>
          <w:u w:val="single"/>
        </w:rPr>
        <w:t>.</w:t>
      </w:r>
      <w:r w:rsidR="00E9724A">
        <w:t>"</w:t>
      </w:r>
    </w:p>
    <w:p w:rsidR="00582913" w:rsidP="00582913" w:rsidRDefault="00582913" w14:paraId="239FCD63" w14:textId="76755663">
      <w:pPr>
        <w:pStyle w:val="RCWSLText"/>
      </w:pPr>
    </w:p>
    <w:p w:rsidRPr="00582913" w:rsidR="00582913" w:rsidP="00582913" w:rsidRDefault="00582913" w14:paraId="0E7FFE84" w14:textId="19FF2741">
      <w:pPr>
        <w:pStyle w:val="RCWSLText"/>
      </w:pPr>
      <w:r>
        <w:tab/>
        <w:t>On page 11, line 9, after "</w:t>
      </w:r>
      <w:r>
        <w:rPr>
          <w:u w:val="single"/>
        </w:rPr>
        <w:t>requirements to</w:t>
      </w:r>
      <w:r>
        <w:t>" strike "</w:t>
      </w:r>
      <w:r>
        <w:rPr>
          <w:u w:val="single"/>
        </w:rPr>
        <w:t>provide for</w:t>
      </w:r>
      <w:r>
        <w:t>" and insert "</w:t>
      </w:r>
      <w:r>
        <w:rPr>
          <w:u w:val="single"/>
        </w:rPr>
        <w:t>consider</w:t>
      </w:r>
      <w:r>
        <w:t>"</w:t>
      </w:r>
    </w:p>
    <w:p w:rsidR="00E9724A" w:rsidP="00E9724A" w:rsidRDefault="00E9724A" w14:paraId="439B8692" w14:textId="2C6EF076">
      <w:pPr>
        <w:pStyle w:val="RCWSLText"/>
      </w:pPr>
    </w:p>
    <w:p w:rsidRPr="00E9724A" w:rsidR="00E9724A" w:rsidP="00E9724A" w:rsidRDefault="00E9724A" w14:paraId="370B9D95" w14:textId="1DDF3B93">
      <w:pPr>
        <w:pStyle w:val="RCWSLText"/>
        <w:rPr>
          <w:u w:val="single"/>
        </w:rPr>
      </w:pPr>
      <w:r>
        <w:tab/>
        <w:t>On page 11, line 15, after "</w:t>
      </w:r>
      <w:r>
        <w:rPr>
          <w:u w:val="single"/>
        </w:rPr>
        <w:t>plans</w:t>
      </w:r>
      <w:r>
        <w:t>" insert "</w:t>
      </w:r>
      <w:r>
        <w:rPr>
          <w:u w:val="single"/>
        </w:rPr>
        <w:t xml:space="preserve">. The requirements of this subsection related to </w:t>
      </w:r>
      <w:r w:rsidR="00582913">
        <w:rPr>
          <w:u w:val="single"/>
        </w:rPr>
        <w:t>considering</w:t>
      </w:r>
      <w:r>
        <w:rPr>
          <w:u w:val="single"/>
        </w:rPr>
        <w:t xml:space="preserve"> duplexes, triplexes, and townhomes within an urban growth area boundary do not apply to a county or city that is not </w:t>
      </w:r>
      <w:r w:rsidRPr="00457B4B">
        <w:rPr>
          <w:u w:val="single"/>
        </w:rPr>
        <w:t xml:space="preserve">subject to the review and evaluation requirements of RCW 36.70A.215 if the </w:t>
      </w:r>
      <w:r>
        <w:rPr>
          <w:u w:val="single"/>
        </w:rPr>
        <w:t>county or city</w:t>
      </w:r>
      <w:r w:rsidRPr="00457B4B">
        <w:rPr>
          <w:u w:val="single"/>
        </w:rPr>
        <w:t xml:space="preserve"> </w:t>
      </w:r>
      <w:r>
        <w:rPr>
          <w:u w:val="single"/>
        </w:rPr>
        <w:t>has adopted</w:t>
      </w:r>
      <w:r w:rsidRPr="00457B4B">
        <w:rPr>
          <w:u w:val="single"/>
        </w:rPr>
        <w:t xml:space="preserve"> findings </w:t>
      </w:r>
      <w:r>
        <w:rPr>
          <w:u w:val="single"/>
        </w:rPr>
        <w:t>and provided</w:t>
      </w:r>
      <w:r w:rsidRPr="00457B4B">
        <w:rPr>
          <w:u w:val="single"/>
        </w:rPr>
        <w:t xml:space="preserve"> evidence</w:t>
      </w:r>
      <w:r>
        <w:rPr>
          <w:u w:val="single"/>
        </w:rPr>
        <w:t xml:space="preserve"> as provided for in RCW 36.70A.070(2)</w:t>
      </w:r>
      <w:r w:rsidRPr="00457B4B">
        <w:rPr>
          <w:u w:val="single"/>
        </w:rPr>
        <w:t xml:space="preserve"> that </w:t>
      </w:r>
      <w:r>
        <w:rPr>
          <w:u w:val="single"/>
        </w:rPr>
        <w:t xml:space="preserve">the </w:t>
      </w:r>
      <w:r w:rsidRPr="00457B4B">
        <w:rPr>
          <w:u w:val="single"/>
        </w:rPr>
        <w:t xml:space="preserve">current infrastructure </w:t>
      </w:r>
      <w:r>
        <w:rPr>
          <w:u w:val="single"/>
        </w:rPr>
        <w:t xml:space="preserve">within an urban growth area boundary </w:t>
      </w:r>
      <w:r w:rsidRPr="00457B4B">
        <w:rPr>
          <w:u w:val="single"/>
        </w:rPr>
        <w:t>is not capable of supporting such development or that there is little likelihood that</w:t>
      </w:r>
      <w:r>
        <w:rPr>
          <w:u w:val="single"/>
        </w:rPr>
        <w:t xml:space="preserve"> </w:t>
      </w:r>
      <w:r w:rsidRPr="00457B4B">
        <w:rPr>
          <w:u w:val="single"/>
        </w:rPr>
        <w:t>infrastructure will be built to support such development within the 20-year planning period</w:t>
      </w:r>
      <w:r>
        <w:t>"</w:t>
      </w:r>
    </w:p>
    <w:p w:rsidRPr="009853E8" w:rsidR="00DF5D0E" w:rsidP="009853E8" w:rsidRDefault="00DF5D0E" w14:paraId="11A6ABB0" w14:textId="77777777">
      <w:pPr>
        <w:suppressLineNumbers/>
        <w:rPr>
          <w:spacing w:val="-3"/>
        </w:rPr>
      </w:pPr>
    </w:p>
    <w:permEnd w:id="388971153"/>
    <w:p w:rsidR="00ED2EEB" w:rsidP="009853E8" w:rsidRDefault="00ED2EEB" w14:paraId="42153BB4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4321184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3136EF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853E8" w:rsidRDefault="00D659AC" w14:paraId="43A04E2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582913" w:rsidP="009853E8" w:rsidRDefault="0096303F" w14:paraId="3A2DA2D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="001C1B27" w:rsidP="00582913" w:rsidRDefault="00E9724A" w14:paraId="77E2AE8A" w14:textId="2CC73E0E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Allows counties and cities outside of </w:t>
                </w:r>
                <w:r w:rsidRPr="00E9724A">
                  <w:t>Clark, King, Kitsap, Pierce, Snohomish, Thurston and Whatcom</w:t>
                </w:r>
                <w:r w:rsidR="006E4D3C">
                  <w:t xml:space="preserve"> </w:t>
                </w:r>
                <w:r w:rsidR="0040459F">
                  <w:t>counties</w:t>
                </w:r>
                <w:r>
                  <w:t xml:space="preserve"> to not be </w:t>
                </w:r>
                <w:r>
                  <w:lastRenderedPageBreak/>
                  <w:t xml:space="preserve">required to comply with provisions related to planning, development, and </w:t>
                </w:r>
                <w:r w:rsidR="00582913">
                  <w:t>consideration</w:t>
                </w:r>
                <w:r>
                  <w:t xml:space="preserve"> of </w:t>
                </w:r>
                <w:r w:rsidRPr="00E9724A">
                  <w:t>duplexes, triplexes, and townhomes within an urban growth area boundary</w:t>
                </w:r>
                <w:r>
                  <w:t xml:space="preserve"> if the county or city adopts findings and provides evidence that current infrastructure with the urban growth area boundary </w:t>
                </w:r>
                <w:r w:rsidR="008948B7">
                  <w:t>cannot support such development, or that there is little chance that such supporting infrastructure will be built within the 20-year planning period.</w:t>
                </w:r>
              </w:p>
              <w:p w:rsidRPr="0096303F" w:rsidR="00582913" w:rsidP="00582913" w:rsidRDefault="00582913" w14:paraId="72A45CF9" w14:textId="32EC4B43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Requires cities and counties to consider, rather than to provide for, all of the housing types identified in the requirements for the housing element of a comprehensive plan, including, within an urban growth area boundary, single-family residences such as single-family detached dwellings, duplexes, triplexes, and townhomes.</w:t>
                </w:r>
              </w:p>
              <w:p w:rsidRPr="007D1589" w:rsidR="001B4E53" w:rsidP="009853E8" w:rsidRDefault="001B4E53" w14:paraId="4E4EE0D0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43211844"/>
    </w:tbl>
    <w:p w:rsidR="00DF5D0E" w:rsidP="009853E8" w:rsidRDefault="00DF5D0E" w14:paraId="5B95E189" w14:textId="77777777">
      <w:pPr>
        <w:pStyle w:val="BillEnd"/>
        <w:suppressLineNumbers/>
      </w:pPr>
    </w:p>
    <w:p w:rsidR="00DF5D0E" w:rsidP="009853E8" w:rsidRDefault="00DE256E" w14:paraId="1FFA27C1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853E8" w:rsidRDefault="00AB682C" w14:paraId="5AD3C891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5A6B7" w14:textId="77777777" w:rsidR="009853E8" w:rsidRDefault="009853E8" w:rsidP="00DF5D0E">
      <w:r>
        <w:separator/>
      </w:r>
    </w:p>
  </w:endnote>
  <w:endnote w:type="continuationSeparator" w:id="0">
    <w:p w14:paraId="6C803037" w14:textId="77777777" w:rsidR="009853E8" w:rsidRDefault="009853E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7359" w:rsidRDefault="002A7359" w14:paraId="5092F8A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331706" w14:paraId="2F79F531" w14:textId="3E8455F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E5D89">
      <w:t>1232-S AMH GOEH WRIK 120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331706" w14:paraId="3765315B" w14:textId="1353CBE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E5D89">
      <w:t>1232-S AMH GOEH WRIK 120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BED62" w14:textId="77777777" w:rsidR="009853E8" w:rsidRDefault="009853E8" w:rsidP="00DF5D0E">
      <w:r>
        <w:separator/>
      </w:r>
    </w:p>
  </w:footnote>
  <w:footnote w:type="continuationSeparator" w:id="0">
    <w:p w14:paraId="1128BE17" w14:textId="77777777" w:rsidR="009853E8" w:rsidRDefault="009853E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DE976" w14:textId="77777777" w:rsidR="002A7359" w:rsidRDefault="002A7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114C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3FBFDD" wp14:editId="63B0859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279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0CE36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20BB0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5780B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96806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6D764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04180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BE9C6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26CEB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7A1F2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AEA8B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2FDB3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9EE84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E5413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A6E42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2FA62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AA36F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AEEB9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35A83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2796E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79197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76AB9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44A88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A6F39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7FFB3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79941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D6F0A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7EAE5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97106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006DC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23DEB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C715E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431E7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99562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FBFD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5C279F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0CE367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20BB05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5780BC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96806B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6D764C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041807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BE9C66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26CEBE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7A1F2B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AEA8BB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2FDB3F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9EE843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E54131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A6E428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2FA628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AA36F3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AEEB9C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35A83A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2796E8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791976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76AB91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44A88C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A6F398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7FFB39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799416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D6F0A4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7EAE57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971062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006DC4B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23DEB1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C715E0D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431E7C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995629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8FE2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02831F" wp14:editId="296D00B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A5B3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53A21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215A1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2ECA2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B123E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5ECA5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286B8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56D63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08D02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CAE83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DE99D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651AB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6205D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2AFB8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A55B2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4AB4C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AAF3F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0186D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4366F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75FA5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B6243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3D36E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13C40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F86C3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016A06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F156D4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40D59E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2831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26A5B3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53A211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215A1C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2ECA21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B123E4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5ECA51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286B8D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56D637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08D02B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CAE832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DE99DA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651AB2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6205D7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2AFB8E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A55B27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4AB4CD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AAF3F3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0186DB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4366F7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75FA5A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B6243E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3D36E5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13C409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F86C3E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016A06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F156D4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40D59E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CC6B1E"/>
    <w:multiLevelType w:val="hybridMultilevel"/>
    <w:tmpl w:val="4B86E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5730C"/>
    <w:rsid w:val="00265296"/>
    <w:rsid w:val="00281CBD"/>
    <w:rsid w:val="002A7359"/>
    <w:rsid w:val="00316CD9"/>
    <w:rsid w:val="00331706"/>
    <w:rsid w:val="003E2FC6"/>
    <w:rsid w:val="0040459F"/>
    <w:rsid w:val="00492DDC"/>
    <w:rsid w:val="004C6615"/>
    <w:rsid w:val="004D735B"/>
    <w:rsid w:val="005115F9"/>
    <w:rsid w:val="00523C5A"/>
    <w:rsid w:val="00582913"/>
    <w:rsid w:val="005E69C3"/>
    <w:rsid w:val="00605C39"/>
    <w:rsid w:val="006841E6"/>
    <w:rsid w:val="006E4D3C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1E07"/>
    <w:rsid w:val="008443FE"/>
    <w:rsid w:val="00846034"/>
    <w:rsid w:val="008948B7"/>
    <w:rsid w:val="008C7E6E"/>
    <w:rsid w:val="00931B84"/>
    <w:rsid w:val="0096303F"/>
    <w:rsid w:val="00972869"/>
    <w:rsid w:val="00984CD1"/>
    <w:rsid w:val="009853E8"/>
    <w:rsid w:val="009A2BCB"/>
    <w:rsid w:val="009F23A9"/>
    <w:rsid w:val="00A01F29"/>
    <w:rsid w:val="00A17B5B"/>
    <w:rsid w:val="00A4729B"/>
    <w:rsid w:val="00A576CC"/>
    <w:rsid w:val="00A93D4A"/>
    <w:rsid w:val="00AA1230"/>
    <w:rsid w:val="00AB682C"/>
    <w:rsid w:val="00AD2D0A"/>
    <w:rsid w:val="00AE5D89"/>
    <w:rsid w:val="00B31D1C"/>
    <w:rsid w:val="00B41494"/>
    <w:rsid w:val="00B518D0"/>
    <w:rsid w:val="00B56650"/>
    <w:rsid w:val="00B73E0A"/>
    <w:rsid w:val="00B961E0"/>
    <w:rsid w:val="00BF44DF"/>
    <w:rsid w:val="00C61A83"/>
    <w:rsid w:val="00C648D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9724A"/>
    <w:rsid w:val="00EC4C96"/>
    <w:rsid w:val="00EC784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788C48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86568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1232-S</BillDocName>
  <AmendType>AMH</AmendType>
  <SponsorAcronym>GOEH</SponsorAcronym>
  <DrafterAcronym>WRIK</DrafterAcronym>
  <DraftNumber>120</DraftNumber>
  <ReferenceNumber>SHB 1232</ReferenceNumber>
  <Floor>H AMD</Floor>
  <AmendmentNumber> 429</AmendmentNumber>
  <Sponsors>By Representative Goehner</Sponsors>
  <FloorAction>ADOPTED 03/08/2021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60</TotalTime>
  <Pages>2</Pages>
  <Words>366</Words>
  <Characters>2012</Characters>
  <Application>Microsoft Office Word</Application>
  <DocSecurity>8</DocSecurity>
  <Lines>55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1232-S AMH GOEH WRIK 120</vt:lpstr>
    </vt:vector>
  </TitlesOfParts>
  <Company>Washington State Legislature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1232-S AMH GOEH WRIK 120</dc:title>
  <dc:creator>Kellen Wright</dc:creator>
  <cp:lastModifiedBy>Wright, Kellen</cp:lastModifiedBy>
  <cp:revision>16</cp:revision>
  <dcterms:created xsi:type="dcterms:W3CDTF">2021-03-07T17:07:00Z</dcterms:created>
  <dcterms:modified xsi:type="dcterms:W3CDTF">2021-03-07T18:44:00Z</dcterms:modified>
</cp:coreProperties>
</file>