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2ab0aa878c49f1" /></Relationships>
</file>

<file path=word/document.xml><?xml version="1.0" encoding="utf-8"?>
<w:document xmlns:w="http://schemas.openxmlformats.org/wordprocessingml/2006/main">
  <w:body>
    <w:p>
      <w:r>
        <w:rPr>
          <w:b/>
        </w:rPr>
        <w:r>
          <w:rPr/>
          <w:t xml:space="preserve">1091-S3</w:t>
        </w:r>
      </w:r>
      <w:r>
        <w:rPr>
          <w:b/>
        </w:rPr>
        <w:t xml:space="preserve"> </w:t>
        <w:t xml:space="preserve">AMH</w:t>
      </w:r>
      <w:r>
        <w:rPr>
          <w:b/>
        </w:rPr>
        <w:t xml:space="preserve"> </w:t>
        <w:r>
          <w:rPr/>
          <w:t xml:space="preserve">STOK</w:t>
        </w:r>
      </w:r>
      <w:r>
        <w:rPr>
          <w:b/>
        </w:rPr>
        <w:t xml:space="preserve"> </w:t>
        <w:r>
          <w:rPr/>
          <w:t xml:space="preserve">H1152.1</w:t>
        </w:r>
      </w:r>
      <w:r>
        <w:rPr>
          <w:b/>
        </w:rPr>
        <w:t xml:space="preserve"> - NOT FOR FLOOR USE</w:t>
      </w:r>
    </w:p>
    <w:p>
      <w:pPr>
        <w:ind w:left="0" w:right="0" w:firstLine="576"/>
      </w:pPr>
    </w:p>
    <w:p>
      <w:pPr>
        <w:spacing w:before="480" w:after="0" w:line="408" w:lineRule="exact"/>
      </w:pPr>
      <w:r>
        <w:rPr>
          <w:b/>
          <w:u w:val="single"/>
        </w:rPr>
        <w:t xml:space="preserve">3SHB 1091</w:t>
      </w:r>
      <w:r>
        <w:t xml:space="preserve"> -</w:t>
      </w:r>
      <w:r>
        <w:t xml:space="preserve"> </w:t>
        <w:t xml:space="preserve">H AMD</w:t>
      </w:r>
      <w:r>
        <w:t xml:space="preserve"> </w:t>
      </w:r>
      <w:r>
        <w:rPr>
          <w:b/>
        </w:rPr>
        <w:t xml:space="preserve">142</w:t>
      </w:r>
    </w:p>
    <w:p>
      <w:pPr>
        <w:spacing w:before="0" w:after="0" w:line="408" w:lineRule="exact"/>
        <w:ind w:left="0" w:right="0" w:firstLine="576"/>
        <w:jc w:val="left"/>
      </w:pPr>
      <w:r>
        <w:rPr/>
        <w:t xml:space="preserve">By Representative Stokesbary</w:t>
      </w:r>
    </w:p>
    <w:p>
      <w:pPr>
        <w:jc w:val="right"/>
      </w:pPr>
      <w:r>
        <w:rPr>
          <w:b/>
        </w:rPr>
        <w:t xml:space="preserve">NOT ADOPTED 02/27/2021</w:t>
      </w:r>
    </w:p>
    <w:p>
      <w:pPr>
        <w:spacing w:before="0" w:after="0" w:line="408" w:lineRule="exact"/>
        <w:ind w:left="0" w:right="0" w:firstLine="576"/>
        <w:jc w:val="left"/>
      </w:pPr>
      <w:r>
        <w:rPr/>
        <w:t xml:space="preserve">On page 16, at the beginning of line 23, strike "(1)"</w:t>
      </w:r>
    </w:p>
    <w:p>
      <w:pPr>
        <w:spacing w:before="0" w:after="0" w:line="408" w:lineRule="exact"/>
        <w:ind w:left="0" w:right="0" w:firstLine="576"/>
        <w:jc w:val="left"/>
      </w:pPr>
      <w:r>
        <w:rPr/>
        <w:t xml:space="preserve">On page 16, beginning on line 27, strike all of subsection (2)</w:t>
      </w:r>
    </w:p>
    <w:p>
      <w:pPr>
        <w:spacing w:before="0" w:after="0" w:line="408" w:lineRule="exact"/>
        <w:ind w:left="0" w:right="0" w:firstLine="576"/>
        <w:jc w:val="left"/>
      </w:pPr>
      <w:r>
        <w:rPr/>
        <w:t xml:space="preserve">On page 16, after line 28,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15</w:instrText>
      </w:r>
      <w:r/>
      <w:r>
        <w:rPr>
          <w:b/>
        </w:rPr>
        <w:fldChar w:fldCharType="end"/>
      </w:r>
      <w:r>
        <w:t xml:space="preserve">  </w:t>
      </w:r>
      <w:r>
        <w:rPr/>
        <w:t xml:space="preserve">(1) This section is the tax preference performance statement for the tax preference contained in section 14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Lower the cost of clean energy technology and clean fuel standard compliance; and</w:t>
      </w:r>
    </w:p>
    <w:p>
      <w:pPr>
        <w:spacing w:before="0" w:after="0" w:line="408" w:lineRule="exact"/>
        <w:ind w:left="0" w:right="0" w:firstLine="576"/>
        <w:jc w:val="left"/>
      </w:pPr>
      <w:r>
        <w:rPr/>
        <w:t xml:space="preserve">(b) Incentivize the development of clean energy businesses in the state.</w:t>
      </w:r>
    </w:p>
    <w:p>
      <w:pPr>
        <w:spacing w:before="0" w:after="0" w:line="408" w:lineRule="exact"/>
        <w:ind w:left="0" w:right="0" w:firstLine="576"/>
        <w:jc w:val="left"/>
      </w:pPr>
      <w:r>
        <w:rPr/>
        <w:t xml:space="preserve">(4) If a review finds that the economic benefit from the clean fuel program with respect to clean fuel technology and emissions reduction is greater than the total increase in the cost of fuel plus the total economic cost of any jobs lost as a result of the clean fuels program, then the legislature intends to extend the expiration date of the tax preference. In reviewing the tax preference, the joint legislative audit and review committee must, to the extent possible, evaluate the impacts of the preference on clean energy technology businesses in Washington.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0" w:after="0" w:line="408" w:lineRule="exact"/>
        <w:ind w:left="0" w:right="0" w:firstLine="576"/>
        <w:jc w:val="left"/>
      </w:pPr>
      <w:r>
        <w:rPr/>
        <w:t xml:space="preserve">(6) The department of revenue must include the tax preference contained in section 14 of this act in the quadrennial tax exemption report prepared pursuant to RCW 43.06.400."</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Requires a tax preference performance statement for the business and occupation tax exemption for the generation, purchase, sale, transfer, and retirement of Clean Fuels Program credits. Establishes specific public policy purposes by which the effects of the tax preference will be measured. Directs the Joint Legislative Audit and Review Committee to consider specified impacts of the tax preference on clean energy businesses. Requires the Department of Revenue to include the Business and Occupation Tax exemption in its quadrennial tax exemption report.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f4139972f4d9f" /></Relationships>
</file>