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52ad754ec4db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8690</w:t>
      </w:r>
    </w:p>
    <w:p/>
    <w:p/>
    <w:p>
      <w:r>
        <w:t xml:space="preserve">By </w:t>
      </w:r>
      <w:r>
        <w:t>Senators Randall, Takko, Stanford, Nguyen, Cleveland, Hunt, Wilson, C., Sheldon, Liias, and Short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National protections were written into law thirty years ago, while the origin of advocacy for persons with disabilities began as early as 1936 when a grass roots organization of parents from all over Washington state formed;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Nearly a quarter of Washingtonians live with some type of disability and rely on such protections every day;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Advocates with disabilities, their families, and allies taught the nation that disability is a part of human existence and developed the rallying cry "nothing about us without us";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Americans with Disabilities Act was the first monumental piece of civil rights legislation for persons with disabilities;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This was the accomplishment of self-advocates, their families, and allies of all races, ethnicities, creeds, genders, abilities, and sexual orientations;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ADA provided an encompassing definition of disability, which contends that disability is not a barrier to an individual's participation in society;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 is still working to ensure that all persons with disabilities have equal opportunities and access to participate fully in our society;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ADA has been an instrumental tool for advocates with disabilities and families to address such barriers;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We remain committed to working alongside advocates with disabilities and their families to address the barriers to equal opportunity and participation in society;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commemorate the thirtieth anniversary of the Americans with Disabilities Act, which was the result of persistent efforts of self-advocates, their families, and allies from the disability community, but that it is only the beginning of our work.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Brad Hendrickson,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8690,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24, 2020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BRAD HENDRICKSON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0571651f6447e" /></Relationships>
</file>