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795f1b96f544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6478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11, 2020</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11, 2020</w:t>
            </w:r>
          </w:p>
          <w:p>
            <w:pPr>
              <w:ind w:left="0" w:right="0" w:firstLine="360"/>
            </w:pPr>
            <w:r>
              <w:t xml:space="preserve">Yeas </w:t>
              <w:t xml:space="preserve">56</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6478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6478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Ways &amp; Means (originally sponsored by Senators Nguyen, Darneille, Stanford, Saldaña, Dhingra, Das, and Hasegawa)</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economic assistance programs by updating standards of need, revising outcome measures and data collected, and reducing barriers to participation; amending RCW 74.08A.010; adding a new section to chapter 74.08A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2019 c 343 s 2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w:t>
      </w:r>
      <w:r>
        <w:t>((</w:t>
      </w:r>
      <w:r>
        <w:rPr>
          <w:strike/>
        </w:rPr>
        <w:t xml:space="preserve">if the recipient is a homeless person as described in RCW 43.185C.010</w:t>
      </w:r>
      <w:r>
        <w:t>))</w:t>
      </w:r>
      <w:r>
        <w:rPr/>
        <w:t xml:space="preserve"> </w:t>
      </w:r>
      <w:r>
        <w:rPr>
          <w:u w:val="single"/>
        </w:rPr>
        <w:t xml:space="preserve">when </w:t>
      </w:r>
      <w:r>
        <w:rPr>
          <w:u w:val="single"/>
        </w:rPr>
        <w:t xml:space="preserve">the recipient's family includes a child or youth who is without a fixed, regular, and adequate nighttime residence as described in the federal McKinney-Vento homeless assistance act (Title 42 U.S.C., chapter 119, subchapter VI, part B) as it existed on January 1, 2020</w:t>
      </w:r>
      <w:r>
        <w:rPr/>
        <w:t xml:space="preserve">;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 Annually by December 31st, the department must report to the governor and the appropriate policy and fiscal committees of the legislature disaggregated data identifying the race of individuals whose temporary assistance for needy families benefits were reduced or terminated during the preceding year due to:</w:t>
      </w:r>
    </w:p>
    <w:p>
      <w:pPr>
        <w:spacing w:before="0" w:after="0" w:line="408" w:lineRule="exact"/>
        <w:ind w:left="0" w:right="0" w:firstLine="576"/>
        <w:jc w:val="left"/>
      </w:pPr>
      <w:r>
        <w:rPr/>
        <w:t xml:space="preserve">(a) Sanction as described in RCW 74.08A.260; or</w:t>
      </w:r>
    </w:p>
    <w:p>
      <w:pPr>
        <w:spacing w:before="0" w:after="0" w:line="408" w:lineRule="exact"/>
        <w:ind w:left="0" w:right="0" w:firstLine="576"/>
        <w:jc w:val="left"/>
      </w:pPr>
      <w:r>
        <w:rPr/>
        <w:t xml:space="preserve">(b) Reaching the sixty-month time limit under RCW 74.08A.010.</w:t>
      </w:r>
    </w:p>
    <w:p>
      <w:pPr>
        <w:spacing w:before="0" w:after="0" w:line="408" w:lineRule="exact"/>
        <w:ind w:left="0" w:right="0" w:firstLine="576"/>
        <w:jc w:val="left"/>
      </w:pPr>
      <w:r>
        <w:rPr/>
        <w:t xml:space="preserve">(2) If the disaggregated data for terminated or sanctioned individuals shows a disproportionate representation of any racial group that has experienced historic disparities or discrimination, the department must describe steps it is taking to address and remedy the racial disproportionality.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2021.</w:t>
      </w:r>
    </w:p>
    <w:p/>
    <w:p>
      <w:pPr>
        <w:jc w:val="center"/>
      </w:pPr>
      <w:r>
        <w:rPr>
          <w:b/>
        </w:rPr>
        <w:t>--- END ---</w:t>
      </w:r>
    </w:p>
    <w:sectPr>
      <w:pgNumType w:start="1"/>
      <w:footerReference xmlns:r="http://schemas.openxmlformats.org/officeDocument/2006/relationships" r:id="Rea532a455d3546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6478.PL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665cf349704ef3" /><Relationship Type="http://schemas.openxmlformats.org/officeDocument/2006/relationships/footer" Target="/word/footer1.xml" Id="Rea532a455d354663" /></Relationships>
</file>