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ac39495e0249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6239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37</w:t>
            </w:r>
            <w:r>
              <w:t xml:space="preserve">  Nays </w:t>
              <w:t xml:space="preserve">12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2020</w:t>
            </w:r>
          </w:p>
          <w:p>
            <w:pPr>
              <w:ind w:left="0" w:right="0" w:firstLine="360"/>
            </w:pPr>
            <w:r>
              <w:t xml:space="preserve">Yeas </w:t>
              <w:t xml:space="preserve">60</w:t>
            </w:r>
            <w:r>
              <w:t xml:space="preserve">  Nays </w:t>
              <w:t xml:space="preserve">37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6239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6239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Conway, Keiser, Hasegawa, Saldaña, Van De Wege, Lovelett, and Wilson, C.</w:t>
      </w:r>
    </w:p>
    <w:p/>
    <w:p>
      <w:r>
        <w:rPr>
          <w:t xml:space="preserve">Prefiled 01/10/20.</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and bidding on public works projects; and amending RCW 39.04.310 and 39.04.350.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310</w:t>
      </w:r>
      <w:r>
        <w:rPr/>
        <w:t xml:space="preserve"> and 2015 c 48 s 1 are each amended to read as follows:</w:t>
      </w:r>
    </w:p>
    <w:p>
      <w:pPr>
        <w:spacing w:before="0" w:after="0" w:line="408" w:lineRule="exact"/>
        <w:ind w:left="0" w:right="0" w:firstLine="576"/>
        <w:jc w:val="left"/>
      </w:pPr>
      <w:r>
        <w:rPr/>
        <w:t xml:space="preserve">The definitions in this section apply throughout this section and RCW 39.04.300 and 39.04.320 unless the context clearly requires otherwise.</w:t>
      </w:r>
    </w:p>
    <w:p>
      <w:pPr>
        <w:spacing w:before="0" w:after="0" w:line="408" w:lineRule="exact"/>
        <w:ind w:left="0" w:right="0" w:firstLine="576"/>
        <w:jc w:val="left"/>
      </w:pPr>
      <w:r>
        <w:rPr/>
        <w:t xml:space="preserve">(1) "Apprentice" means an apprentice enrolled in a state-approved apprenticeship training program.</w:t>
      </w:r>
    </w:p>
    <w:p>
      <w:pPr>
        <w:spacing w:before="0" w:after="0" w:line="408" w:lineRule="exact"/>
        <w:ind w:left="0" w:right="0" w:firstLine="576"/>
        <w:jc w:val="left"/>
      </w:pPr>
      <w:r>
        <w:rPr/>
        <w:t xml:space="preserve">(2) </w:t>
      </w:r>
      <w:r>
        <w:rPr>
          <w:u w:val="single"/>
        </w:rPr>
        <w:t xml:space="preserve">"Apprenticeship utilization plan" means a plan submitted by a prospective bidder specifically detailing verifiable efforts to meet the apprenticeship utilization requirements.</w:t>
      </w:r>
      <w:r>
        <w:rPr/>
        <w:t xml:space="preserve"> </w:t>
      </w:r>
    </w:p>
    <w:p>
      <w:pPr>
        <w:spacing w:before="0" w:after="0" w:line="408" w:lineRule="exact"/>
        <w:ind w:left="0" w:right="0" w:firstLine="576"/>
        <w:jc w:val="left"/>
      </w:pPr>
      <w:r>
        <w:rPr>
          <w:u w:val="single"/>
        </w:rPr>
        <w:t xml:space="preserve">(3)</w:t>
      </w:r>
      <w:r>
        <w:rPr/>
        <w:t xml:space="preserve"> "Apprentice utilization requirement" means the requirement that the appropriate percentage of labor hours be performed by apprentices.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"Labor hours" means the total hours of workers receiving an hourly wage who are directly employed upon the public works project. "Labor hours" includes hours performed by workers employed by the contractor and all subcontractors working on the project. "Labor hours" does not include hours worked by foremen, superintendents, owners, and workers who are not subject to prevailing wage requirements.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"School district" has the same meaning as in RCW 28A.315.025.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"State-approved apprenticeship training program" means an apprenticeship training program approved by the Washington state apprenticeship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2019 c 232 s 15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The department, in consultation with the prevailing wage advisory committee, must determine the length of the training.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 site. Responsible parties may rely on the records made available by the department regarding satisfaction of the training requirement or exemption;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chapter 5.50 RCW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 </w:t>
      </w:r>
    </w:p>
    <w:p>
      <w:pPr>
        <w:spacing w:before="0" w:after="0" w:line="408" w:lineRule="exact"/>
        <w:ind w:left="0" w:right="0" w:firstLine="576"/>
        <w:jc w:val="left"/>
      </w:pPr>
      <w:r>
        <w:rPr>
          <w:u w:val="single"/>
        </w:rPr>
        <w:t xml:space="preserve">(e) If the bidder has a history of receiving monetary penalties for not achieving the apprentice utilization requirements pursuant to RCW 39.04.320, or is habitual in utilizing the good faith effort exception process, the bidder must submit an apprenticeship utilization plan within ten business days immediately following the notice to proceed date.</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 site.</w:t>
      </w:r>
    </w:p>
    <w:p/>
    <w:p>
      <w:pPr>
        <w:jc w:val="center"/>
      </w:pPr>
      <w:r>
        <w:rPr>
          <w:b/>
        </w:rPr>
        <w:t>--- END ---</w:t>
      </w:r>
    </w:p>
    <w:sectPr>
      <w:pgNumType w:start="1"/>
      <w:footerReference xmlns:r="http://schemas.openxmlformats.org/officeDocument/2006/relationships" r:id="R1ec0de0ed2d246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9bc3d6ecde4a8e" /><Relationship Type="http://schemas.openxmlformats.org/officeDocument/2006/relationships/footer" Target="/word/footer1.xml" Id="R1ec0de0ed2d24684" /></Relationships>
</file>