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6b7563c0ec47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6025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28, 2019</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28, 2019</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6025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Honeyford, Takko, Padden, Hobbs, Schoesler, Becker, Fortunato, Wilson, L., King, Zeiger, Short, Ericksen, Wagoner, Brown, Holy, Warnick, Braun, Sheldon, and Conway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bump-fire stock buy-back program records; amending RCW 42.56.230 and 42.56.230;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2017 3rd sp.s. c 6 s 222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 </w:t>
      </w:r>
      <w:r>
        <w:t>((</w:t>
      </w:r>
      <w:r>
        <w:rPr>
          <w:strike/>
        </w:rPr>
        <w:t xml:space="preserve">and</w:t>
      </w:r>
      <w:r>
        <w:t>))</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r>
        <w:rPr>
          <w:u w:val="single"/>
        </w:rPr>
        <w:t xml:space="preserve">; and</w:t>
      </w:r>
    </w:p>
    <w:p>
      <w:pPr>
        <w:spacing w:before="0" w:after="0" w:line="408" w:lineRule="exact"/>
        <w:ind w:left="0" w:right="0" w:firstLine="576"/>
        <w:jc w:val="left"/>
      </w:pPr>
      <w:r>
        <w:rPr>
          <w:u w:val="single"/>
        </w:rPr>
        <w:t xml:space="preserve">(10) Names, addresses, or other personal information of individuals who participated in the bump-fire stock buy-back program under RCW 43.43.920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2018 c 109 s 16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 </w:t>
      </w:r>
      <w:r>
        <w:t>((</w:t>
      </w:r>
      <w:r>
        <w:rPr>
          <w:strike/>
        </w:rPr>
        <w:t xml:space="preserve">and</w:t>
      </w:r>
      <w:r>
        <w:t>))</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r>
        <w:rPr>
          <w:u w:val="single"/>
        </w:rPr>
        <w:t xml:space="preserve">; and</w:t>
      </w:r>
    </w:p>
    <w:p>
      <w:pPr>
        <w:spacing w:before="0" w:after="0" w:line="408" w:lineRule="exact"/>
        <w:ind w:left="0" w:right="0" w:firstLine="576"/>
        <w:jc w:val="left"/>
      </w:pPr>
      <w:r>
        <w:rPr>
          <w:u w:val="single"/>
        </w:rPr>
        <w:t xml:space="preserve">(11) Names, addresses, or other personal information of individuals who participated in the bump-fire stock buy-back program under RCW 43.43.920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exemptions in this act apply to any public records requests made prior to the effective date of this act for which the disclosure of records has not already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expires July 1, 2019.</w:t>
      </w:r>
    </w:p>
    <w:p>
      <w:pPr>
        <w:spacing w:before="0" w:after="0" w:line="408" w:lineRule="exact"/>
        <w:ind w:left="0" w:right="0" w:firstLine="576"/>
        <w:jc w:val="left"/>
      </w:pPr>
      <w:r>
        <w:rPr/>
        <w:t xml:space="preserve">(2) Section 2 of this act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1befb564d3e44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b8df89763b4845" /><Relationship Type="http://schemas.openxmlformats.org/officeDocument/2006/relationships/footer" Target="/word/footer1.xml" Id="R11befb564d3e44c6" /></Relationships>
</file>