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27e23a56d44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5815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26, 2019</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84</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5815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Nguyen, Darneille, Wilson, C., Saldaña, Das, Keiser, and Kuderer)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placed in minimum security status by the department of children, youth, and families; and amending RCW 13.40.205 and 72.05.405.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2002 c 175 s 26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to the victim or the victim's immediate family.</w:t>
      </w:r>
    </w:p>
    <w:p>
      <w:pPr>
        <w:spacing w:before="0" w:after="0" w:line="408" w:lineRule="exact"/>
        <w:ind w:left="0" w:right="0" w:firstLine="576"/>
        <w:jc w:val="left"/>
      </w:pPr>
      <w:r>
        <w:rPr/>
        <w:t xml:space="preserve">(9) A juvenile who violates any condition of an authorized leave plan may be taken into custody and returned to the department in the same manner as an adult in identical circumstances.</w:t>
      </w:r>
    </w:p>
    <w:p>
      <w:pPr>
        <w:spacing w:before="0" w:after="0" w:line="408" w:lineRule="exact"/>
        <w:ind w:left="0" w:right="0" w:firstLine="576"/>
        <w:jc w:val="left"/>
      </w:pPr>
      <w:r>
        <w:rPr/>
        <w:t xml:space="preserve">(10) Notwithstanding the provisions of this section, a juvenile placed in minimum security status may participate in work, educational, community restitution, or treatment programs in the community up to twelve hours a day if approved by the secretary. Such a release shall not be deemed a leave of absence. </w:t>
      </w:r>
      <w:r>
        <w:rPr>
          <w:u w:val="single"/>
        </w:rPr>
        <w:t xml:space="preserve">This authorization may be increased to more than twelve hours a day up to sixteen hours a day if approved by the secretary and operated within the department's appropriations.</w:t>
      </w:r>
    </w:p>
    <w:p>
      <w:pPr>
        <w:spacing w:before="0" w:after="0" w:line="408" w:lineRule="exact"/>
        <w:ind w:left="0" w:right="0" w:firstLine="576"/>
        <w:jc w:val="left"/>
      </w:pPr>
      <w:r>
        <w:rPr/>
        <w:t xml:space="preserve">(11) Subsections (6), (7), and (8) of this section do not apply to juveniles covered by RCW 13.40.215.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405</w:t>
      </w:r>
      <w:r>
        <w:rPr/>
        <w:t xml:space="preserve"> and 1998 c 269 s 6 are each amended to read as follows:</w:t>
      </w:r>
    </w:p>
    <w:p>
      <w:pPr>
        <w:spacing w:before="0" w:after="0" w:line="408" w:lineRule="exact"/>
        <w:ind w:left="0" w:right="0" w:firstLine="576"/>
        <w:jc w:val="left"/>
      </w:pPr>
      <w:r>
        <w:rPr/>
        <w:t xml:space="preserve">The department shall adopt an infraction policy for juveniles placed in community facilities. The policy shall require written documentation by the department and service providers of all infractions and violations by juveniles of conditions set by the department. Any juvenile who commits a serious infraction or a serious violation of conditions set by the department </w:t>
      </w:r>
      <w:r>
        <w:t>((</w:t>
      </w:r>
      <w:r>
        <w:rPr>
          <w:strike/>
        </w:rPr>
        <w:t xml:space="preserve">shall</w:t>
      </w:r>
      <w:r>
        <w:t>))</w:t>
      </w:r>
      <w:r>
        <w:rPr/>
        <w:t xml:space="preserve"> </w:t>
      </w:r>
      <w:r>
        <w:rPr>
          <w:u w:val="single"/>
        </w:rPr>
        <w:t xml:space="preserve">must</w:t>
      </w:r>
      <w:r>
        <w:rPr/>
        <w:t xml:space="preserve"> be returned to an institution. The secretary shall not return a juvenile to a community facility until a new risk assessment has been completed and the secretary reasonably believes that the juvenile can adhere to the conditions set by the department. The department </w:t>
      </w:r>
      <w:r>
        <w:t>((</w:t>
      </w:r>
      <w:r>
        <w:rPr>
          <w:strike/>
        </w:rPr>
        <w:t xml:space="preserve">shall</w:t>
      </w:r>
      <w:r>
        <w:t>))</w:t>
      </w:r>
      <w:r>
        <w:rPr/>
        <w:t xml:space="preserve"> </w:t>
      </w:r>
      <w:r>
        <w:rPr>
          <w:u w:val="single"/>
        </w:rPr>
        <w:t xml:space="preserve">must</w:t>
      </w:r>
      <w:r>
        <w:rPr/>
        <w:t xml:space="preserve"> define the terms "serious infraction" and "serious violation" in rule </w:t>
      </w:r>
      <w:r>
        <w:t>((</w:t>
      </w:r>
      <w:r>
        <w:rPr>
          <w:strike/>
        </w:rPr>
        <w:t xml:space="preserve">and shall include but not necessarily [be] limited to</w:t>
      </w:r>
      <w:r>
        <w:t>))</w:t>
      </w:r>
      <w:r>
        <w:rPr>
          <w:u w:val="single"/>
        </w:rPr>
        <w:t xml:space="preserve">, which must include</w:t>
      </w:r>
      <w:r>
        <w:rPr/>
        <w:t xml:space="preserve"> the commission of any criminal offense</w:t>
      </w:r>
      <w:r>
        <w:t>((</w:t>
      </w:r>
      <w:r>
        <w:rPr>
          <w:strike/>
        </w:rPr>
        <w:t xml:space="preserve">, any</w:t>
      </w:r>
      <w:r>
        <w:t>))</w:t>
      </w:r>
      <w:r>
        <w:rPr/>
        <w:t xml:space="preserve"> </w:t>
      </w:r>
      <w:r>
        <w:rPr>
          <w:u w:val="single"/>
        </w:rPr>
        <w:t xml:space="preserve">excluding</w:t>
      </w:r>
      <w:r>
        <w:rPr/>
        <w:t xml:space="preserve"> unlawful use or possession of a controlled substance</w:t>
      </w:r>
      <w:r>
        <w:t>((</w:t>
      </w:r>
      <w:r>
        <w:rPr>
          <w:strike/>
        </w:rPr>
        <w:t xml:space="preserve">, and any</w:t>
      </w:r>
      <w:r>
        <w:t>))</w:t>
      </w:r>
      <w:r>
        <w:rPr/>
        <w:t xml:space="preserve"> </w:t>
      </w:r>
      <w:r>
        <w:rPr>
          <w:u w:val="single"/>
        </w:rPr>
        <w:t xml:space="preserve">or</w:t>
      </w:r>
      <w:r>
        <w:rPr/>
        <w:t xml:space="preserve"> use or possession of an alcoholic beverage. </w:t>
      </w:r>
      <w:r>
        <w:rPr>
          <w:u w:val="single"/>
        </w:rPr>
        <w:t xml:space="preserve">The department shall adopt and implement rules based on empirically validated best practices to appropriately address offenses involving unlawful use or possession of a controlled substance and unlawful use or possession of alcohol committed by individuals placed in juvenile community facilities.</w:t>
      </w:r>
    </w:p>
    <w:p/>
    <w:p>
      <w:pPr>
        <w:jc w:val="center"/>
      </w:pPr>
      <w:r>
        <w:rPr>
          <w:b/>
        </w:rPr>
        <w:t>--- END ---</w:t>
      </w:r>
    </w:p>
    <w:sectPr>
      <w:pgNumType w:start="1"/>
      <w:footerReference xmlns:r="http://schemas.openxmlformats.org/officeDocument/2006/relationships" r:id="R025e9f4ae75f47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8a3ffd35924df7" /><Relationship Type="http://schemas.openxmlformats.org/officeDocument/2006/relationships/footer" Target="/word/footer1.xml" Id="R025e9f4ae75f4740" /></Relationships>
</file>