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5a2f2b142e47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5695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59</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5695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Transportation (originally sponsored by Senators Liias, King, Zeiger, Saldaña, and Kuderer; by request of Department of Transportation)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occupancy vehicle lane penalties; amending RCW 46.20.289, 46.61.165, 46.63.110, 3.62.090, and 2.68.040; adding a new section to chapter 46.68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who engage in contrived or repeated violations of the state's high occupancy vehicle lane restrictions frustrate the state's congestion management, and justifiably incite indignation and anger among fellow transportation system users. The legislature intends the escalating penalties prescribed in this act to rebuke and discourage such conduct within Washington's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2016 c 203 s 6 are each amended to read as follows:</w:t>
      </w:r>
    </w:p>
    <w:p>
      <w:pPr>
        <w:spacing w:before="0" w:after="0" w:line="408" w:lineRule="exact"/>
        <w:ind w:left="0" w:right="0" w:firstLine="576"/>
        <w:jc w:val="left"/>
      </w:pPr>
      <w:r>
        <w:rPr>
          <w:u w:val="single"/>
        </w:rPr>
        <w:t xml:space="preserve">Except for traffic violations committed under RCW 46.61.165, t</w:t>
      </w:r>
      <w:r>
        <w:rPr/>
        <w:t xml:space="preserve">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 criminal complaint,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w:t>
      </w:r>
      <w:r>
        <w:rPr>
          <w:u w:val="single"/>
        </w:rPr>
        <w:t xml:space="preserve">A person who commits a traffic infraction under this section is also subject to additional monetary penalties as defined in this subsection. The additional monetary penalties are separate from the base penalty, fees, and assessments issued for the traffic infraction and are intended to raise awareness, and improve the efficiency, of the high occupancy vehicle lane system.</w:t>
      </w:r>
    </w:p>
    <w:p>
      <w:pPr>
        <w:spacing w:before="0" w:after="0" w:line="408" w:lineRule="exact"/>
        <w:ind w:left="0" w:right="0" w:firstLine="576"/>
        <w:jc w:val="left"/>
      </w:pPr>
      <w:r>
        <w:rPr>
          <w:u w:val="single"/>
        </w:rPr>
        <w:t xml:space="preserve">(a) Whenever a person commits a traffic infraction under this section, an additional monetary penalty of fifty dollars must be collected, and, in the case that a person has already committed a violation under this section within two years of committing this violation, then an additional one hundred fifty dollars must be collected</w:t>
      </w:r>
      <w:r>
        <w:rPr>
          <w:u w:val="single"/>
        </w:rPr>
        <w:t xml:space="preserve">.</w:t>
      </w:r>
    </w:p>
    <w:p>
      <w:pPr>
        <w:spacing w:before="0" w:after="0" w:line="408" w:lineRule="exact"/>
        <w:ind w:left="0" w:right="0" w:firstLine="576"/>
        <w:jc w:val="left"/>
      </w:pPr>
      <w:r>
        <w:rPr>
          <w:u w:val="single"/>
        </w:rPr>
        <w:t xml:space="preserve">(b) Any time a person commits a traffic infraction under this section and is using a dummy, doll, or other human facsimile to make it appear that an additional person is in the vehicle, the person must be assessed a two hundred dollar penalty, which is in addition to the penalties in (a) of this subsection.</w:t>
      </w:r>
    </w:p>
    <w:p>
      <w:pPr>
        <w:spacing w:before="0" w:after="0" w:line="408" w:lineRule="exact"/>
        <w:ind w:left="0" w:right="0" w:firstLine="576"/>
        <w:jc w:val="left"/>
      </w:pPr>
      <w:r>
        <w:rPr>
          <w:u w:val="single"/>
        </w:rPr>
        <w:t xml:space="preserve">(c) The monetary penalties under (a) and (b) of this subsection are additional, separate, and distinct penalties from the base penalty and are not subject to fees or assessments specified in RCW 46.63.110, 3.62.090, and 2.68.040.</w:t>
      </w:r>
    </w:p>
    <w:p>
      <w:pPr>
        <w:spacing w:before="0" w:after="0" w:line="408" w:lineRule="exact"/>
        <w:ind w:left="0" w:right="0" w:firstLine="576"/>
        <w:jc w:val="left"/>
      </w:pPr>
      <w:r>
        <w:rPr>
          <w:u w:val="single"/>
        </w:rPr>
        <w:t xml:space="preserve">(d)(i) The additional penalties collected under (a) of this subsection must be distributed as follows:</w:t>
      </w:r>
    </w:p>
    <w:p>
      <w:pPr>
        <w:spacing w:before="0" w:after="0" w:line="408" w:lineRule="exact"/>
        <w:ind w:left="0" w:right="0" w:firstLine="576"/>
        <w:jc w:val="left"/>
      </w:pPr>
      <w:r>
        <w:rPr>
          <w:u w:val="single"/>
        </w:rPr>
        <w:t xml:space="preserve">(A) Twenty-five percent must be deposited into the congestion relief and traffic safety account created under section 7 of this act; and</w:t>
      </w:r>
    </w:p>
    <w:p>
      <w:pPr>
        <w:spacing w:before="0" w:after="0" w:line="408" w:lineRule="exact"/>
        <w:ind w:left="0" w:right="0" w:firstLine="576"/>
        <w:jc w:val="left"/>
      </w:pPr>
      <w:r>
        <w:rPr>
          <w:u w:val="single"/>
        </w:rPr>
        <w:t xml:space="preserve">(B) Seventy-five percent must be deposited into the motor vehicle fund created under RCW 46.68.070.</w:t>
      </w:r>
    </w:p>
    <w:p>
      <w:pPr>
        <w:spacing w:before="0" w:after="0" w:line="408" w:lineRule="exact"/>
        <w:ind w:left="0" w:right="0" w:firstLine="576"/>
        <w:jc w:val="left"/>
      </w:pPr>
      <w:r>
        <w:rPr>
          <w:u w:val="single"/>
        </w:rPr>
        <w:t xml:space="preserve">(ii) The additional penalty collected under (b) of this subsection must be deposited into the congestion relief and traffic safety account created under section 7 of this act.</w:t>
      </w:r>
    </w:p>
    <w:p>
      <w:pPr>
        <w:spacing w:before="0" w:after="0" w:line="408" w:lineRule="exact"/>
        <w:ind w:left="0" w:right="0" w:firstLine="576"/>
        <w:jc w:val="left"/>
      </w:pPr>
      <w:r>
        <w:rPr>
          <w:u w:val="single"/>
        </w:rPr>
        <w:t xml:space="preserve">(e) Violations committed under this section are excluded from eligibility as a moving violation for driver's license suspension under RCW 46.20.289 when a person subsequently fails to respond to a notice of traffic infraction for this moving violation, fails to appear at a requested hearing for this moving violation, violates a written promise to appear in court for a notice of infraction for this moving violation, or fails to comply with the terms of a notice of traffic infraction for this moving violation.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 The additional monetary penalties for a violation of RCW 46.61.165 are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or the penalty assessment imposed under RCW 10.99.080. </w:t>
      </w:r>
      <w:r>
        <w:rPr>
          <w:u w:val="single"/>
        </w:rPr>
        <w:t xml:space="preserve">This section does not apply to the additional monetary penalties under RCW 46.61.165.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penalties under RCW 46.61.165.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congestion relief and traffic safety account is created in the state treasury. Moneys in the account may be spent only after appropriation. Expenditures from the account may only be used for purposes related to congestion relief and traffic safety.</w:t>
      </w:r>
    </w:p>
    <w:p/>
    <w:p>
      <w:pPr>
        <w:jc w:val="center"/>
      </w:pPr>
      <w:r>
        <w:rPr>
          <w:b/>
        </w:rPr>
        <w:t>--- END ---</w:t>
      </w:r>
    </w:p>
    <w:sectPr>
      <w:pgNumType w:start="1"/>
      <w:footerReference xmlns:r="http://schemas.openxmlformats.org/officeDocument/2006/relationships" r:id="Rdeabc8c0981a40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a2b3697fc4310" /><Relationship Type="http://schemas.openxmlformats.org/officeDocument/2006/relationships/footer" Target="/word/footer1.xml" Id="Rdeabc8c0981a40c0" /></Relationships>
</file>