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906e6349b34c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5181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2019</w:t>
            </w:r>
          </w:p>
          <w:p>
            <w:pPr>
              <w:ind w:left="0" w:right="0" w:firstLine="360"/>
            </w:pPr>
            <w:r>
              <w:t xml:space="preserve">Yeas </w:t>
              <w:t xml:space="preserve">26</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55</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5181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Kuderer, Saldaña, Pedersen, Wilson, C., Dhingra, Billig, Takko, McCoy, Hunt, Cleveland, Wellman, Darneille, Carlyle, Das, and Liias)</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procedures upon initial detention under the involuntary treatment act; amending RCW 9.41.047; adding a new section to chapter 71.05 RCW; adding a new section to chapter 9.41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person who under RCW 71.05.150 or 71.05.153 has been detained at a facility for seventy-two-hour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(3)(a)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must comply with the provisions of RCW 9.41.345 when returning a firearm pursuant to this section.</w:t>
      </w:r>
    </w:p>
    <w:p>
      <w:pPr>
        <w:spacing w:before="0" w:after="0" w:line="408" w:lineRule="exact"/>
        <w:ind w:left="0" w:right="0" w:firstLine="576"/>
        <w:jc w:val="left"/>
      </w:pPr>
      <w:r>
        <w:rPr/>
        <w:t xml:space="preserve">(b)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section 1 of this act,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2018 c 201 s 6001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by reason of having been detained under RCW 71.05.150 or 71.05.153,</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w:t>
      </w:r>
      <w:r>
        <w:rPr>
          <w:u w:val="single"/>
        </w:rPr>
        <w:t xml:space="preserve">and (e)</w:t>
      </w:r>
      <w:r>
        <w:rPr/>
        <w:t xml:space="preserv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w:t>
      </w:r>
      <w:r>
        <w:rPr>
          <w:u w:val="single"/>
        </w:rPr>
        <w:t xml:space="preserve">or detention</w:t>
      </w:r>
      <w:r>
        <w:rPr/>
        <w:t xml:space="preserve">;</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w:t>
      </w:r>
      <w:r>
        <w:rPr>
          <w:u w:val="single"/>
        </w:rPr>
        <w:t xml:space="preserve">or detention</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t>
      </w:r>
      <w:r>
        <w:rPr>
          <w:u w:val="single"/>
        </w:rPr>
        <w:t xml:space="preserve">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u w:val="single"/>
        </w:rPr>
        <w:t xml:space="preserve">(f)</w:t>
      </w:r>
      <w:r>
        <w:rPr/>
        <w:t xml:space="preserv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health care authority, and the national instant criminal background check system index, denied persons file. </w:t>
      </w:r>
      <w:r>
        <w:rPr>
          <w:u w:val="single"/>
        </w:rPr>
        <w:t xml:space="preserve">In the case of a person whose right to possess a firearm has been suspended for six months as provided in section 1 of this act,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8288c660d98147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a5cf16aa594f39" /><Relationship Type="http://schemas.openxmlformats.org/officeDocument/2006/relationships/footer" Target="/word/footer1.xml" Id="R8288c660d9814795" /></Relationships>
</file>