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0623c1179147d5" /></Relationships>
</file>

<file path=word/document.xml><?xml version="1.0" encoding="utf-8"?>
<w:document xmlns:w="http://schemas.openxmlformats.org/wordprocessingml/2006/main">
  <w:body>
    <w:p>
      <w:r>
        <w:t>S-7606.5</w:t>
      </w:r>
    </w:p>
    <w:p>
      <w:pPr>
        <w:jc w:val="center"/>
      </w:pPr>
      <w:r>
        <w:t>_______________________________________________</w:t>
      </w:r>
    </w:p>
    <w:p/>
    <w:p>
      <w:pPr>
        <w:jc w:val="center"/>
      </w:pPr>
      <w:r>
        <w:rPr>
          <w:b/>
        </w:rPr>
        <w:t>SENATE BILL 6702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Rivers, Wilson, L., and Brown</w:t>
      </w:r>
    </w:p>
    <w:p/>
    <w:p>
      <w:r>
        <w:rPr>
          <w:t xml:space="preserve">Read first time 03/10/20.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banning a state or local income tax; adding a new section to chapter 84.09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supreme court has repeatedly ruled that income is personal property and is subject to the constitutional protections and restrictions on taxing property. Washington voters have rejected ten straight ballot measures to impose any form of income tax. In adopting this act, the legislature intends to cement and reinforce what our state department of commerce calls our competitive advantage by banning any type of state or local income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No state or local tax may be imposed on income derived from wages, investments, the sale of goods or services, or any other source. This prohibition includes any taxes on net or gross income, except that this section does not prohibit a state or local tax in effect on January 1, 2020, or any modifications to such a tax.</w:t>
      </w:r>
    </w:p>
    <w:p>
      <w:pPr>
        <w:spacing w:before="0" w:after="0" w:line="408" w:lineRule="exact"/>
        <w:ind w:left="0" w:right="0" w:firstLine="576"/>
        <w:jc w:val="left"/>
      </w:pPr>
      <w:r>
        <w:rPr/>
        <w:t xml:space="preserve">(2) A tax is in effect on January 1, 2020, if it has been enacted into law and has not been ruled unconstitutional as of that date by any court of competent jurisdiction, even if later reversed on appeal.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to be liberally construed to effectuate the policies, purposes, and intent of this act.</w:t>
      </w:r>
    </w:p>
    <w:p/>
    <w:p>
      <w:pPr>
        <w:jc w:val="center"/>
      </w:pPr>
      <w:r>
        <w:rPr>
          <w:b/>
        </w:rPr>
        <w:t>--- END ---</w:t>
      </w:r>
    </w:p>
    <w:sectPr>
      <w:pgNumType w:start="1"/>
      <w:footerReference xmlns:r="http://schemas.openxmlformats.org/officeDocument/2006/relationships" r:id="Ref66a9e1d93d44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3613aaac264aae" /><Relationship Type="http://schemas.openxmlformats.org/officeDocument/2006/relationships/footer" Target="/word/footer1.xml" Id="Ref66a9e1d93d4442" /></Relationships>
</file>