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f51b02ff9a4c5f" /></Relationships>
</file>

<file path=word/document.xml><?xml version="1.0" encoding="utf-8"?>
<w:document xmlns:w="http://schemas.openxmlformats.org/wordprocessingml/2006/main">
  <w:body>
    <w:p>
      <w:r>
        <w:t>S-6033.1</w:t>
      </w:r>
    </w:p>
    <w:p>
      <w:pPr>
        <w:jc w:val="center"/>
      </w:pPr>
      <w:r>
        <w:t>_______________________________________________</w:t>
      </w:r>
    </w:p>
    <w:p/>
    <w:p>
      <w:pPr>
        <w:jc w:val="center"/>
      </w:pPr>
      <w:r>
        <w:rPr>
          <w:b/>
        </w:rPr>
        <w:t>SENATE BILL 6676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Frockt, Randall, Rolfes, Darneille, Braun, Billig, Salomon, Stanford, Dhingra, and Van De Wege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for primary care services for medicaid beneficiaries;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Medicaid payment for primary care services that are reimbursed solely at the existing medical assistance rates, furnished by a nurse practitioner, a physician with a primary specialty designation of family medicine, general internal medicine, or pediatric medicine or provided by subspecialists within these primary specialties as recognized in accordance with the American board of medical specialties, the American board of physician specialties, and the American osteopathic association, on a fee-for-service basis as well as through managed health care systems, must be at a rate not less than seventy-five percent of the payment rate that applies to those services and providers under medicare.</w:t>
      </w:r>
    </w:p>
    <w:p>
      <w:pPr>
        <w:spacing w:before="0" w:after="0" w:line="408" w:lineRule="exact"/>
        <w:ind w:left="0" w:right="0" w:firstLine="576"/>
        <w:jc w:val="left"/>
      </w:pPr>
      <w:r>
        <w:rPr/>
        <w:t xml:space="preserve">(2) The authority must apply reimbursement rates required under this section to payment codes in a manner consistent with the temporary increase in medicaid reimbursement rates under federal rules and guidance in effect on January 1, 2014, implementing the patient protection and affordable care act.</w:t>
      </w:r>
    </w:p>
    <w:p>
      <w:pPr>
        <w:spacing w:before="0" w:after="0" w:line="408" w:lineRule="exact"/>
        <w:ind w:left="0" w:right="0" w:firstLine="576"/>
        <w:jc w:val="left"/>
      </w:pPr>
      <w:r>
        <w:rPr/>
        <w:t xml:space="preserve">(3) The authority must pursue a state plan amendment to require medicaid managed care organizations to increase primary care rates under this section through adoption of a minimum fee schedule pursuant to 42 C.F.R. Sec. 438.6(c)(1)(iii)(A), as existing on January 1, 2020.</w:t>
      </w:r>
    </w:p>
    <w:p/>
    <w:p>
      <w:pPr>
        <w:jc w:val="center"/>
      </w:pPr>
      <w:r>
        <w:rPr>
          <w:b/>
        </w:rPr>
        <w:t>--- END ---</w:t>
      </w:r>
    </w:p>
    <w:sectPr>
      <w:pgNumType w:start="1"/>
      <w:footerReference xmlns:r="http://schemas.openxmlformats.org/officeDocument/2006/relationships" r:id="R9a74c63b126248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25f0ab0d024711" /><Relationship Type="http://schemas.openxmlformats.org/officeDocument/2006/relationships/footer" Target="/word/footer1.xml" Id="R9a74c63b126248d7" /></Relationships>
</file>