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e6dec5ec2d4813" /></Relationships>
</file>

<file path=word/document.xml><?xml version="1.0" encoding="utf-8"?>
<w:document xmlns:w="http://schemas.openxmlformats.org/wordprocessingml/2006/main">
  <w:body>
    <w:p>
      <w:r>
        <w:t>S-6243.2</w:t>
      </w:r>
    </w:p>
    <w:p>
      <w:pPr>
        <w:jc w:val="center"/>
      </w:pPr>
      <w:r>
        <w:t>_______________________________________________</w:t>
      </w:r>
    </w:p>
    <w:p/>
    <w:p>
      <w:pPr>
        <w:jc w:val="center"/>
      </w:pPr>
      <w:r>
        <w:rPr>
          <w:b/>
        </w:rPr>
        <w:t>SUBSTITUTE SENATE BILL 6663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Brown, Becker, and Walsh)</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diagnoses of eating disorder and diabetes mellitus type 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Research indicates a higher prevalence of eating disorders among people with diabetes, as compared to their peers without diabetes. Eating disorders and disordered eating behaviors, especially insulin omission, are associated with poorer glycemic control and serious risk for increased morbidity and mortality.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2020, the department of health shall make available on its web site links to existing information related to the condition commonly known as "diabulimia," an eating disorder associated with individuals with type 1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Alyssa's law. </w:t>
      </w:r>
    </w:p>
    <w:p/>
    <w:p>
      <w:pPr>
        <w:jc w:val="center"/>
      </w:pPr>
      <w:r>
        <w:rPr>
          <w:b/>
        </w:rPr>
        <w:t>--- END ---</w:t>
      </w:r>
    </w:p>
    <w:sectPr>
      <w:pgNumType w:start="1"/>
      <w:footerReference xmlns:r="http://schemas.openxmlformats.org/officeDocument/2006/relationships" r:id="R3ccab50adabb4d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d5902939854c33" /><Relationship Type="http://schemas.openxmlformats.org/officeDocument/2006/relationships/footer" Target="/word/footer1.xml" Id="R3ccab50adabb4d70" /></Relationships>
</file>