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20ed3fc6bf46b3" /></Relationships>
</file>

<file path=word/document.xml><?xml version="1.0" encoding="utf-8"?>
<w:document xmlns:w="http://schemas.openxmlformats.org/wordprocessingml/2006/main">
  <w:body>
    <w:p>
      <w:r>
        <w:t>S-5999.1</w:t>
      </w:r>
    </w:p>
    <w:p>
      <w:pPr>
        <w:jc w:val="center"/>
      </w:pPr>
      <w:r>
        <w:t>_______________________________________________</w:t>
      </w:r>
    </w:p>
    <w:p/>
    <w:p>
      <w:pPr>
        <w:jc w:val="center"/>
      </w:pPr>
      <w:r>
        <w:rPr>
          <w:b/>
        </w:rPr>
        <w:t>SUBSTITUTE SENATE BILL 6649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Zeiger, Kuderer, Braun,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local sales and use tax option to fund emergency homeless shelters;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city or county legislative authority may authorize, fix, and impose a sales and use tax in accordance with the terms of this section.</w:t>
      </w:r>
    </w:p>
    <w:p>
      <w:pPr>
        <w:spacing w:before="0" w:after="0" w:line="408" w:lineRule="exact"/>
        <w:ind w:left="0" w:right="0" w:firstLine="576"/>
        <w:jc w:val="left"/>
      </w:pPr>
      <w:r>
        <w:rPr/>
        <w:t xml:space="preserve">(b) The rate of tax under this section equals three one-hundredths of one percent of the selling price in the case of a sales tax, or value of the article used, in the case of a use tax.</w:t>
      </w:r>
    </w:p>
    <w:p>
      <w:pPr>
        <w:spacing w:before="0" w:after="0" w:line="408" w:lineRule="exact"/>
        <w:ind w:left="0" w:right="0" w:firstLine="576"/>
        <w:jc w:val="left"/>
      </w:pPr>
      <w:r>
        <w:rPr/>
        <w:t xml:space="preserve">(2) A city or county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(a) Adoption of the resolution of intent and legislation requires simple majority approval of the enacting legislative authority.</w:t>
      </w:r>
    </w:p>
    <w:p>
      <w:pPr>
        <w:spacing w:before="0" w:after="0" w:line="408" w:lineRule="exact"/>
        <w:ind w:left="0" w:right="0" w:firstLine="576"/>
        <w:jc w:val="left"/>
      </w:pPr>
      <w:r>
        <w:rPr/>
        <w:t xml:space="preserve">(b) If a city or county has not adopted a resolution of intent in accordance with the terms of this section, the city or county may not authorize, fix, and impose the tax.</w:t>
      </w:r>
    </w:p>
    <w:p>
      <w:pPr>
        <w:spacing w:before="0" w:after="0" w:line="408" w:lineRule="exact"/>
        <w:ind w:left="0" w:right="0" w:firstLine="576"/>
        <w:jc w:val="left"/>
      </w:pPr>
      <w:r>
        <w:rPr/>
        <w:t xml:space="preserve">(3)(a) The tax imposed under this section must be credited against the state portion of sales and use tax and must be deducted from the amount of tax otherwise required to be collected or paid to the department of revenue under chapter 82.08 or 82.12 RCW.</w:t>
      </w:r>
    </w:p>
    <w:p>
      <w:pPr>
        <w:spacing w:before="0" w:after="0" w:line="408" w:lineRule="exact"/>
        <w:ind w:left="0" w:right="0" w:firstLine="576"/>
        <w:jc w:val="left"/>
      </w:pPr>
      <w:r>
        <w:rPr/>
        <w:t xml:space="preserve">(b) The department must perform the collection of such taxes on behalf of the county at no cost to the county.</w:t>
      </w:r>
    </w:p>
    <w:p>
      <w:pPr>
        <w:spacing w:before="0" w:after="0" w:line="408" w:lineRule="exact"/>
        <w:ind w:left="0" w:right="0" w:firstLine="576"/>
        <w:jc w:val="left"/>
      </w:pPr>
      <w:r>
        <w:rPr/>
        <w:t xml:space="preserve">(4) If a county imposes a tax authorized under this section and a city located in that county has also imposed a tax authorized under this section, the county must provide a credit against its tax for the amount imposed by a city, not to exceed the full amount of tax imposed by the county.</w:t>
      </w:r>
    </w:p>
    <w:p>
      <w:pPr>
        <w:spacing w:before="0" w:after="0" w:line="408" w:lineRule="exact"/>
        <w:ind w:left="0" w:right="0" w:firstLine="576"/>
        <w:jc w:val="left"/>
      </w:pPr>
      <w:r>
        <w:rPr/>
        <w:t xml:space="preserve">(5) The taxes authorized in this section are in addition to any other taxes authorized by law and must be collected from persons who are taxable by the state under chapters 82.08 and 82.12 RCW upon the occurrence of any taxable event within the county for a county's tax and within a city for a city's tax.</w:t>
      </w:r>
    </w:p>
    <w:p>
      <w:pPr>
        <w:spacing w:before="0" w:after="0" w:line="408" w:lineRule="exact"/>
        <w:ind w:left="0" w:right="0" w:firstLine="576"/>
        <w:jc w:val="left"/>
      </w:pPr>
      <w:r>
        <w:rPr/>
        <w:t xml:space="preserve">(6)(a) By December 31, 2020, or within thirty days of a city or county authorizing the tax under this section, whichever is later, the department must calculate the maximum amount of tax distributions for each city or county authorizing the tax under this section. The maximum amount of tax distributions for each city or county equals the taxable retail sales within the city or county in the current fiscal year multiplied by the tax rate imposed under this section.</w:t>
      </w:r>
    </w:p>
    <w:p>
      <w:pPr>
        <w:spacing w:before="0" w:after="0" w:line="408" w:lineRule="exact"/>
        <w:ind w:left="0" w:right="0" w:firstLine="576"/>
        <w:jc w:val="left"/>
      </w:pPr>
      <w:r>
        <w:rPr/>
        <w:t xml:space="preserve">(b) The tax must cease to be distributed to a city or county for the remainder of any fiscal year in which the amount of tax exceeds the maximum amount in (a) of this subsection. The department must remit any annual tax revenues above the maximum to the state treasurer for deposit in the general fund. Distributions to a city or county meeting the maximum amount must resume at the beginning of the next fiscal year.</w:t>
      </w:r>
    </w:p>
    <w:p>
      <w:pPr>
        <w:spacing w:before="0" w:after="0" w:line="408" w:lineRule="exact"/>
        <w:ind w:left="0" w:right="0" w:firstLine="576"/>
        <w:jc w:val="left"/>
      </w:pPr>
      <w:r>
        <w:rPr/>
        <w:t xml:space="preserve">(7) To carry out the purposes of this section including, but not limited to, financing loans or grants to nonprofit organizations or public housing authorities, the legislative authority of the city or county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(8) A city or county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(9) The tax authorized under this section is subject to the timing restrictions of RCW 82.14.055.</w:t>
      </w:r>
    </w:p>
    <w:p>
      <w:pPr>
        <w:spacing w:before="0" w:after="0" w:line="408" w:lineRule="exact"/>
        <w:ind w:left="0" w:right="0" w:firstLine="576"/>
        <w:jc w:val="left"/>
      </w:pPr>
      <w:r>
        <w:rPr/>
        <w:t xml:space="preserve">(10)(a) A city or county collecting a tax under this section must use the revenues collected under this section exclusively for operating and capital costs related to temporary and emergency housing shelters for the homeless. A city or county may use revenues collected under this section for contracts, loans, or grants to nonprofit organizations or public housing authorities for services related to temporary and emergency housing shelters for the homeless.</w:t>
      </w:r>
    </w:p>
    <w:p>
      <w:pPr>
        <w:spacing w:before="0" w:after="0" w:line="408" w:lineRule="exact"/>
        <w:ind w:left="0" w:right="0" w:firstLine="576"/>
        <w:jc w:val="left"/>
      </w:pPr>
      <w:r>
        <w:rPr/>
        <w:t xml:space="preserve">(b) The city's or county's expenditures for these purposes must supplement, and not supplant, the city's previous expenditures for these purposes.</w:t>
      </w:r>
    </w:p>
    <w:p>
      <w:pPr>
        <w:spacing w:before="0" w:after="0" w:line="408" w:lineRule="exact"/>
        <w:ind w:left="0" w:right="0" w:firstLine="576"/>
        <w:jc w:val="left"/>
      </w:pPr>
      <w:r>
        <w:rPr/>
        <w:t xml:space="preserve">(11) For purposes of this section, "homeless person" has the same meaning as in RCW 43.185C.010.</w:t>
      </w:r>
    </w:p>
    <w:p/>
    <w:p>
      <w:pPr>
        <w:jc w:val="center"/>
      </w:pPr>
      <w:r>
        <w:rPr>
          <w:b/>
        </w:rPr>
        <w:t>--- END ---</w:t>
      </w:r>
    </w:p>
    <w:sectPr>
      <w:pgNumType w:start="1"/>
      <w:footerReference xmlns:r="http://schemas.openxmlformats.org/officeDocument/2006/relationships" r:id="R597cc1f9040745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fac19d54c04af0" /><Relationship Type="http://schemas.openxmlformats.org/officeDocument/2006/relationships/footer" Target="/word/footer1.xml" Id="R597cc1f904074519" /></Relationships>
</file>